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5C" w:rsidRPr="005A0C5C" w:rsidRDefault="005A0C5C" w:rsidP="005A0C5C">
      <w:pPr>
        <w:pStyle w:val="Default"/>
        <w:jc w:val="center"/>
        <w:rPr>
          <w:b/>
        </w:rPr>
      </w:pPr>
      <w:r w:rsidRPr="005A0C5C">
        <w:rPr>
          <w:b/>
        </w:rPr>
        <w:t>KAIŠIADORIŲ RAJONO SAVIVALDYBĖS ADMINISTRACIJOS ŠVIETIMO, KULTŪROS IR SPORTO SKYRIUS</w:t>
      </w:r>
    </w:p>
    <w:p w:rsidR="005A0C5C" w:rsidRDefault="005A0C5C" w:rsidP="005A0C5C">
      <w:pPr>
        <w:pStyle w:val="Default"/>
        <w:rPr>
          <w:sz w:val="23"/>
          <w:szCs w:val="23"/>
        </w:rPr>
      </w:pPr>
    </w:p>
    <w:p w:rsidR="005A0C5C" w:rsidRDefault="005A0C5C" w:rsidP="005A0C5C">
      <w:pPr>
        <w:pStyle w:val="Default"/>
        <w:jc w:val="center"/>
        <w:rPr>
          <w:b/>
        </w:rPr>
      </w:pPr>
      <w:r w:rsidRPr="005A0C5C">
        <w:rPr>
          <w:b/>
        </w:rPr>
        <w:t xml:space="preserve">KAIŠIADORIŲ RAJONO SAVIVALDYBĖS ŠVIETIMO PAŽANGOS ATASKAITA </w:t>
      </w:r>
    </w:p>
    <w:p w:rsidR="005A0C5C" w:rsidRDefault="005A0C5C" w:rsidP="005A0C5C">
      <w:pPr>
        <w:pStyle w:val="Default"/>
        <w:jc w:val="center"/>
        <w:rPr>
          <w:b/>
        </w:rPr>
      </w:pPr>
      <w:r w:rsidRPr="005A0C5C">
        <w:rPr>
          <w:b/>
        </w:rPr>
        <w:t>2015</w:t>
      </w:r>
      <w:r>
        <w:rPr>
          <w:b/>
        </w:rPr>
        <w:t>–2017 METAI</w:t>
      </w:r>
    </w:p>
    <w:p w:rsidR="005A0C5C" w:rsidRDefault="005A0C5C" w:rsidP="005A0C5C">
      <w:pPr>
        <w:pStyle w:val="Default"/>
        <w:spacing w:line="360" w:lineRule="auto"/>
        <w:rPr>
          <w:b/>
        </w:rPr>
      </w:pPr>
    </w:p>
    <w:p w:rsidR="005F53B3" w:rsidRDefault="00061D20" w:rsidP="00E5650E">
      <w:pPr>
        <w:pStyle w:val="Default"/>
        <w:numPr>
          <w:ilvl w:val="0"/>
          <w:numId w:val="3"/>
        </w:numPr>
        <w:spacing w:line="360" w:lineRule="auto"/>
        <w:jc w:val="both"/>
        <w:rPr>
          <w:sz w:val="23"/>
          <w:szCs w:val="23"/>
        </w:rPr>
      </w:pPr>
      <w:r>
        <w:rPr>
          <w:sz w:val="23"/>
          <w:szCs w:val="23"/>
        </w:rPr>
        <w:t>SITUACIJOS ANALIZĖ</w:t>
      </w:r>
    </w:p>
    <w:p w:rsidR="00061D20" w:rsidRDefault="005A0C5C" w:rsidP="00F61981">
      <w:pPr>
        <w:pStyle w:val="Default"/>
        <w:spacing w:line="360" w:lineRule="auto"/>
        <w:ind w:firstLine="567"/>
        <w:jc w:val="both"/>
        <w:rPr>
          <w:sz w:val="23"/>
          <w:szCs w:val="23"/>
        </w:rPr>
      </w:pPr>
      <w:r>
        <w:rPr>
          <w:sz w:val="23"/>
          <w:szCs w:val="23"/>
        </w:rPr>
        <w:t>Lietuvos Respublikos Seimo patvirtintos Valstybinės švietimo 2013–2022 metų strategijos (2013 m. gruodžio 23 d. Nr. XII-745 nutarimas „Dėl valstybinės švietimo 2013–2022 metų strategijos patvirtinimo“) antrojo Strategijos tikslo (Švietimo kokybės kultūra) pasiekimui numatytose veiklos kryptyse (uždaviniuose) yra pažymėta, jog mokyklų savininko teises ir pareigas įgyvendinančios institucijos, turi &lt;...&gt; numatyti metinės pažangos, kurios centre būtų ugdomųjų pasiekimai, skelbimą</w:t>
      </w:r>
      <w:r w:rsidR="00F61981">
        <w:rPr>
          <w:sz w:val="23"/>
          <w:szCs w:val="23"/>
        </w:rPr>
        <w:t>.</w:t>
      </w:r>
    </w:p>
    <w:p w:rsidR="009A3968" w:rsidRPr="00793FB0" w:rsidRDefault="00793FB0" w:rsidP="00793FB0">
      <w:pPr>
        <w:spacing w:after="0" w:line="360" w:lineRule="auto"/>
        <w:ind w:firstLine="567"/>
        <w:jc w:val="both"/>
        <w:rPr>
          <w:rFonts w:ascii="Times New Roman" w:eastAsia="Times New Roman" w:hAnsi="Times New Roman" w:cs="Times New Roman"/>
          <w:sz w:val="24"/>
          <w:szCs w:val="24"/>
          <w:lang w:eastAsia="lt-LT"/>
        </w:rPr>
      </w:pPr>
      <w:r w:rsidRPr="00793FB0">
        <w:rPr>
          <w:rFonts w:ascii="Times New Roman" w:eastAsia="Times New Roman" w:hAnsi="Times New Roman" w:cs="Times New Roman"/>
          <w:sz w:val="24"/>
          <w:szCs w:val="24"/>
        </w:rPr>
        <w:t xml:space="preserve">Kaišiadorių rajono savivaldybės plėtros </w:t>
      </w:r>
      <w:r>
        <w:rPr>
          <w:rFonts w:ascii="Times New Roman" w:eastAsia="Times New Roman" w:hAnsi="Times New Roman" w:cs="Times New Roman"/>
          <w:sz w:val="24"/>
          <w:szCs w:val="24"/>
        </w:rPr>
        <w:t>iki 2020 metų strateginis plano, patvirtinto</w:t>
      </w:r>
      <w:r w:rsidRPr="00793FB0">
        <w:rPr>
          <w:rFonts w:ascii="Times New Roman" w:eastAsia="Times New Roman" w:hAnsi="Times New Roman" w:cs="Times New Roman"/>
          <w:sz w:val="24"/>
          <w:szCs w:val="24"/>
        </w:rPr>
        <w:t xml:space="preserve"> Kaišiadorių rajono savivaldybės tarybos </w:t>
      </w:r>
      <w:r w:rsidRPr="00793FB0">
        <w:rPr>
          <w:rFonts w:ascii="Times New Roman" w:eastAsia="Times New Roman" w:hAnsi="Times New Roman" w:cs="Times New Roman"/>
          <w:sz w:val="24"/>
          <w:szCs w:val="24"/>
          <w:lang w:eastAsia="lt-LT"/>
        </w:rPr>
        <w:t>2014 m. s</w:t>
      </w:r>
      <w:r w:rsidR="00D4459C">
        <w:rPr>
          <w:rFonts w:ascii="Times New Roman" w:eastAsia="Times New Roman" w:hAnsi="Times New Roman" w:cs="Times New Roman"/>
          <w:sz w:val="24"/>
          <w:szCs w:val="24"/>
          <w:lang w:eastAsia="lt-LT"/>
        </w:rPr>
        <w:t>ausio 30 d. sprendimu  Nr. V17-</w:t>
      </w:r>
      <w:r w:rsidRPr="00793FB0">
        <w:rPr>
          <w:rFonts w:ascii="Times New Roman" w:eastAsia="Times New Roman" w:hAnsi="Times New Roman" w:cs="Times New Roman"/>
          <w:sz w:val="24"/>
          <w:szCs w:val="24"/>
          <w:lang w:eastAsia="lt-LT"/>
        </w:rPr>
        <w:t>13</w:t>
      </w:r>
      <w:r>
        <w:rPr>
          <w:rFonts w:ascii="Times New Roman" w:eastAsia="Times New Roman" w:hAnsi="Times New Roman" w:cs="Times New Roman"/>
          <w:sz w:val="24"/>
          <w:szCs w:val="24"/>
          <w:lang w:eastAsia="lt-LT"/>
        </w:rPr>
        <w:t xml:space="preserve">, </w:t>
      </w:r>
      <w:r w:rsidRPr="00793FB0">
        <w:rPr>
          <w:rFonts w:ascii="Times New Roman" w:eastAsia="Times New Roman" w:hAnsi="Times New Roman" w:cs="Times New Roman"/>
          <w:sz w:val="24"/>
          <w:szCs w:val="24"/>
          <w:lang w:eastAsia="lt-LT"/>
        </w:rPr>
        <w:t>priorit</w:t>
      </w:r>
      <w:r>
        <w:rPr>
          <w:rFonts w:ascii="Times New Roman" w:eastAsia="Times New Roman" w:hAnsi="Times New Roman" w:cs="Times New Roman"/>
          <w:sz w:val="24"/>
          <w:szCs w:val="24"/>
          <w:lang w:eastAsia="lt-LT"/>
        </w:rPr>
        <w:t xml:space="preserve">etinė sritis </w:t>
      </w:r>
      <w:r w:rsidRPr="00793FB0">
        <w:rPr>
          <w:rFonts w:ascii="Times New Roman" w:eastAsia="Times New Roman" w:hAnsi="Times New Roman" w:cs="Times New Roman"/>
          <w:sz w:val="24"/>
          <w:szCs w:val="24"/>
          <w:lang w:eastAsia="lt-LT"/>
        </w:rPr>
        <w:t>–</w:t>
      </w:r>
      <w:r w:rsidR="00D4459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rPr>
        <w:t>v</w:t>
      </w:r>
      <w:r w:rsidRPr="00793FB0">
        <w:rPr>
          <w:rFonts w:ascii="Times New Roman" w:eastAsia="Times New Roman" w:hAnsi="Times New Roman" w:cs="Times New Roman"/>
          <w:sz w:val="24"/>
          <w:szCs w:val="24"/>
        </w:rPr>
        <w:t>isuomenės gyvenimo sąlygų ir paslaugų kok</w:t>
      </w:r>
      <w:r>
        <w:rPr>
          <w:rFonts w:ascii="Times New Roman" w:eastAsia="Times New Roman" w:hAnsi="Times New Roman" w:cs="Times New Roman"/>
          <w:sz w:val="24"/>
          <w:szCs w:val="24"/>
        </w:rPr>
        <w:t>ybės gerinimas, 2.1. tikslas –</w:t>
      </w:r>
      <w:r w:rsidR="00143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793FB0">
        <w:rPr>
          <w:rFonts w:ascii="Times New Roman" w:eastAsia="Times New Roman" w:hAnsi="Times New Roman" w:cs="Times New Roman"/>
          <w:sz w:val="24"/>
          <w:szCs w:val="24"/>
        </w:rPr>
        <w:t>obulinti švietimo sistemą, di</w:t>
      </w:r>
      <w:r>
        <w:rPr>
          <w:rFonts w:ascii="Times New Roman" w:eastAsia="Times New Roman" w:hAnsi="Times New Roman" w:cs="Times New Roman"/>
          <w:sz w:val="24"/>
          <w:szCs w:val="24"/>
        </w:rPr>
        <w:t xml:space="preserve">dinti vaikų ir jaunimo užimtumą, todėl </w:t>
      </w:r>
      <w:r w:rsidR="00F61981" w:rsidRPr="00793FB0">
        <w:rPr>
          <w:rFonts w:ascii="Times New Roman" w:hAnsi="Times New Roman" w:cs="Times New Roman"/>
          <w:sz w:val="23"/>
          <w:szCs w:val="23"/>
        </w:rPr>
        <w:t>šioje, pirmoje, Kaišiadorių</w:t>
      </w:r>
      <w:r w:rsidR="005A0C5C" w:rsidRPr="00793FB0">
        <w:rPr>
          <w:rFonts w:ascii="Times New Roman" w:hAnsi="Times New Roman" w:cs="Times New Roman"/>
          <w:sz w:val="23"/>
          <w:szCs w:val="23"/>
        </w:rPr>
        <w:t xml:space="preserve"> rajono savivaldybės švietimo pažangos ataskaitoje pagrindinis dėmesys </w:t>
      </w:r>
      <w:r w:rsidR="005A0C5C" w:rsidRPr="00793FB0">
        <w:rPr>
          <w:rFonts w:ascii="Times New Roman" w:hAnsi="Times New Roman" w:cs="Times New Roman"/>
          <w:sz w:val="24"/>
          <w:szCs w:val="24"/>
        </w:rPr>
        <w:t>skiriamas mokymosi pasiekimų apžvalgai, veiksniams</w:t>
      </w:r>
      <w:r w:rsidR="00143BBE">
        <w:rPr>
          <w:rFonts w:ascii="Times New Roman" w:hAnsi="Times New Roman" w:cs="Times New Roman"/>
          <w:sz w:val="24"/>
          <w:szCs w:val="24"/>
        </w:rPr>
        <w:t>,</w:t>
      </w:r>
      <w:r w:rsidR="005A0C5C" w:rsidRPr="00793FB0">
        <w:rPr>
          <w:rFonts w:ascii="Times New Roman" w:hAnsi="Times New Roman" w:cs="Times New Roman"/>
          <w:sz w:val="24"/>
          <w:szCs w:val="24"/>
        </w:rPr>
        <w:t xml:space="preserve"> turintiems įtakos pasiekimų kokybei.</w:t>
      </w:r>
    </w:p>
    <w:p w:rsidR="00345EAE" w:rsidRDefault="000B4AFE" w:rsidP="00345EAE">
      <w:pPr>
        <w:tabs>
          <w:tab w:val="num" w:pos="720"/>
        </w:tabs>
        <w:spacing w:after="0" w:line="360" w:lineRule="auto"/>
        <w:ind w:firstLine="567"/>
        <w:jc w:val="both"/>
        <w:rPr>
          <w:rFonts w:ascii="Times New Roman" w:eastAsia="Calibri" w:hAnsi="Times New Roman" w:cs="Times New Roman"/>
          <w:sz w:val="24"/>
          <w:szCs w:val="24"/>
        </w:rPr>
      </w:pPr>
      <w:r w:rsidRPr="00F61981">
        <w:rPr>
          <w:rFonts w:ascii="Times New Roman" w:hAnsi="Times New Roman" w:cs="Times New Roman"/>
          <w:sz w:val="24"/>
          <w:szCs w:val="24"/>
        </w:rPr>
        <w:t>Kaišiadorių rajono savivaldybės administracijos Švietimo, kultūros ir sporto skyrius 2014 m. baigė</w:t>
      </w:r>
      <w:r w:rsidR="00143BBE">
        <w:rPr>
          <w:rFonts w:ascii="Times New Roman" w:hAnsi="Times New Roman" w:cs="Times New Roman"/>
          <w:sz w:val="24"/>
          <w:szCs w:val="24"/>
        </w:rPr>
        <w:t xml:space="preserve"> </w:t>
      </w:r>
      <w:r w:rsidRPr="00F61981">
        <w:rPr>
          <w:rFonts w:ascii="Times New Roman" w:hAnsi="Times New Roman" w:cs="Times New Roman"/>
          <w:sz w:val="24"/>
          <w:szCs w:val="24"/>
        </w:rPr>
        <w:t xml:space="preserve">įgyvendinti </w:t>
      </w:r>
      <w:r w:rsidR="00F61981">
        <w:rPr>
          <w:rFonts w:ascii="Times New Roman" w:hAnsi="Times New Roman" w:cs="Times New Roman"/>
          <w:sz w:val="24"/>
          <w:szCs w:val="24"/>
        </w:rPr>
        <w:t xml:space="preserve">švietimo </w:t>
      </w:r>
      <w:r w:rsidR="00F61981" w:rsidRPr="00F61981">
        <w:rPr>
          <w:rFonts w:ascii="Times New Roman" w:eastAsia="Times New Roman" w:hAnsi="Times New Roman" w:cs="Times New Roman"/>
          <w:sz w:val="24"/>
          <w:szCs w:val="24"/>
        </w:rPr>
        <w:t xml:space="preserve">veiklos </w:t>
      </w:r>
      <w:r w:rsidR="00F61981">
        <w:rPr>
          <w:rFonts w:ascii="Times New Roman" w:eastAsia="Times New Roman" w:hAnsi="Times New Roman" w:cs="Times New Roman"/>
          <w:sz w:val="24"/>
          <w:szCs w:val="24"/>
        </w:rPr>
        <w:t>prioritetą „Pamokos kokybė –</w:t>
      </w:r>
      <w:r w:rsidR="00F61981" w:rsidRPr="00F61981">
        <w:rPr>
          <w:rFonts w:ascii="Times New Roman" w:eastAsia="Times New Roman" w:hAnsi="Times New Roman" w:cs="Times New Roman"/>
          <w:sz w:val="24"/>
          <w:szCs w:val="24"/>
        </w:rPr>
        <w:t xml:space="preserve"> švietimo sistemos kokybės pagrindas“</w:t>
      </w:r>
      <w:r w:rsidR="00345EAE">
        <w:rPr>
          <w:rFonts w:ascii="Times New Roman" w:eastAsia="Times New Roman" w:hAnsi="Times New Roman" w:cs="Times New Roman"/>
          <w:sz w:val="24"/>
          <w:szCs w:val="24"/>
        </w:rPr>
        <w:t xml:space="preserve"> ir </w:t>
      </w:r>
      <w:r w:rsidR="00F61981">
        <w:rPr>
          <w:rFonts w:ascii="Times New Roman" w:eastAsia="Times New Roman" w:hAnsi="Times New Roman" w:cs="Times New Roman"/>
          <w:sz w:val="24"/>
          <w:szCs w:val="24"/>
        </w:rPr>
        <w:t xml:space="preserve"> 2012–2014</w:t>
      </w:r>
      <w:r w:rsidR="00F61981" w:rsidRPr="00F61981">
        <w:rPr>
          <w:rFonts w:ascii="Times New Roman" w:eastAsia="Times New Roman" w:hAnsi="Times New Roman" w:cs="Times New Roman"/>
          <w:sz w:val="24"/>
          <w:szCs w:val="24"/>
        </w:rPr>
        <w:t xml:space="preserve"> metų pamokos kokybės tobulinimo Kaišiadorių rajono </w:t>
      </w:r>
      <w:r w:rsidR="00F61981">
        <w:rPr>
          <w:rFonts w:ascii="Times New Roman" w:eastAsia="Times New Roman" w:hAnsi="Times New Roman" w:cs="Times New Roman"/>
          <w:sz w:val="24"/>
          <w:szCs w:val="24"/>
        </w:rPr>
        <w:t>bendrojo ugdymo mokyklose planą</w:t>
      </w:r>
      <w:r w:rsidR="00F61981" w:rsidRPr="00F61981">
        <w:rPr>
          <w:rFonts w:ascii="Times New Roman" w:eastAsia="Times New Roman" w:hAnsi="Times New Roman" w:cs="Times New Roman"/>
          <w:sz w:val="24"/>
          <w:szCs w:val="24"/>
        </w:rPr>
        <w:t xml:space="preserve"> (Kaišiadorių rajono savivaldybės administracijos Švietimo skyriaus vedėjo 2012 m. gegužės 8 d. įsakymas Nr. DS-119). </w:t>
      </w:r>
      <w:r w:rsidR="003E6798">
        <w:rPr>
          <w:rFonts w:ascii="Times New Roman" w:eastAsia="Times New Roman" w:hAnsi="Times New Roman" w:cs="Times New Roman"/>
          <w:sz w:val="24"/>
          <w:szCs w:val="24"/>
        </w:rPr>
        <w:t>Atlikti tyrimai:</w:t>
      </w:r>
      <w:r w:rsidR="00831677">
        <w:rPr>
          <w:rFonts w:ascii="Times New Roman" w:eastAsia="Times New Roman" w:hAnsi="Times New Roman" w:cs="Times New Roman"/>
          <w:sz w:val="24"/>
          <w:szCs w:val="24"/>
        </w:rPr>
        <w:t xml:space="preserve"> ,,</w:t>
      </w:r>
      <w:r w:rsidR="00F61981">
        <w:rPr>
          <w:rFonts w:ascii="Times New Roman" w:eastAsia="Times New Roman" w:hAnsi="Times New Roman" w:cs="Times New Roman"/>
          <w:sz w:val="24"/>
          <w:szCs w:val="24"/>
        </w:rPr>
        <w:t xml:space="preserve">Kaišiadorių rajono bendrojo ugdymo mokyklų mokytojų požiūris į pamoką ir jos kokybę“, ,,Kaišiadorių rajono  mokinių požiūris į pamoką ir jos kokybę“, </w:t>
      </w:r>
      <w:r w:rsidR="00914B72">
        <w:rPr>
          <w:rFonts w:ascii="Times New Roman" w:eastAsia="Times New Roman" w:hAnsi="Times New Roman" w:cs="Times New Roman"/>
          <w:sz w:val="24"/>
          <w:szCs w:val="24"/>
        </w:rPr>
        <w:t xml:space="preserve">,,Kaišiadorių rajono abiturientų raštingumo tyrimas“; </w:t>
      </w:r>
      <w:r w:rsidR="00F61981">
        <w:rPr>
          <w:rFonts w:ascii="Times New Roman" w:eastAsia="Times New Roman" w:hAnsi="Times New Roman" w:cs="Times New Roman"/>
          <w:sz w:val="24"/>
          <w:szCs w:val="24"/>
        </w:rPr>
        <w:t xml:space="preserve">organizuotas kryptingas direktorių pavaduotojų ugdymui, mokytojų kvalifikacijos tobulinimas pamokos kokybės klausimais, organizuoti </w:t>
      </w:r>
      <w:r w:rsidR="00914B72">
        <w:rPr>
          <w:rFonts w:ascii="Times New Roman" w:eastAsia="Times New Roman" w:hAnsi="Times New Roman" w:cs="Times New Roman"/>
          <w:sz w:val="24"/>
          <w:szCs w:val="24"/>
        </w:rPr>
        <w:t xml:space="preserve">profesinio meistriškumo konkursai: ,,Mano sėkmingiausia pamoka“, ,,Esė apie pamoką“, ,,Mokinio sėkmė mano pamokoje“ ir kt. </w:t>
      </w:r>
      <w:r w:rsidR="00345EAE">
        <w:rPr>
          <w:rFonts w:ascii="Times New Roman" w:eastAsia="Times New Roman" w:hAnsi="Times New Roman" w:cs="Times New Roman"/>
          <w:sz w:val="24"/>
          <w:szCs w:val="24"/>
        </w:rPr>
        <w:t>Apibendrinus 2012–</w:t>
      </w:r>
      <w:r w:rsidR="00914B72">
        <w:rPr>
          <w:rFonts w:ascii="Times New Roman" w:eastAsia="Times New Roman" w:hAnsi="Times New Roman" w:cs="Times New Roman"/>
          <w:sz w:val="24"/>
          <w:szCs w:val="24"/>
        </w:rPr>
        <w:t>2014 m. veiklą</w:t>
      </w:r>
      <w:r w:rsidR="00F61981" w:rsidRPr="00F61981">
        <w:rPr>
          <w:rFonts w:ascii="Times New Roman" w:eastAsia="Times New Roman" w:hAnsi="Times New Roman" w:cs="Times New Roman"/>
          <w:sz w:val="24"/>
          <w:szCs w:val="24"/>
        </w:rPr>
        <w:t xml:space="preserve"> ir </w:t>
      </w:r>
      <w:r w:rsidR="00914B72">
        <w:rPr>
          <w:rFonts w:ascii="Times New Roman" w:eastAsia="Times New Roman" w:hAnsi="Times New Roman" w:cs="Times New Roman"/>
          <w:sz w:val="24"/>
          <w:szCs w:val="24"/>
        </w:rPr>
        <w:t xml:space="preserve">atlikus </w:t>
      </w:r>
      <w:r w:rsidR="00F61981" w:rsidRPr="00F61981">
        <w:rPr>
          <w:rFonts w:ascii="Times New Roman" w:eastAsia="Times New Roman" w:hAnsi="Times New Roman" w:cs="Times New Roman"/>
          <w:sz w:val="24"/>
          <w:szCs w:val="24"/>
        </w:rPr>
        <w:t>rezultatų an</w:t>
      </w:r>
      <w:r w:rsidR="00914B72">
        <w:rPr>
          <w:rFonts w:ascii="Times New Roman" w:eastAsia="Times New Roman" w:hAnsi="Times New Roman" w:cs="Times New Roman"/>
          <w:sz w:val="24"/>
          <w:szCs w:val="24"/>
        </w:rPr>
        <w:t>alizę,</w:t>
      </w:r>
      <w:r w:rsidR="00F61981" w:rsidRPr="00F61981">
        <w:rPr>
          <w:rFonts w:ascii="Times New Roman" w:eastAsia="Times New Roman" w:hAnsi="Times New Roman" w:cs="Times New Roman"/>
          <w:sz w:val="24"/>
          <w:szCs w:val="24"/>
        </w:rPr>
        <w:t xml:space="preserve"> išleistas leidinys „Kelyje į sėkmingą pamoką“, organizuota </w:t>
      </w:r>
      <w:r w:rsidR="00345EAE">
        <w:rPr>
          <w:rFonts w:ascii="Times New Roman" w:eastAsia="Times New Roman" w:hAnsi="Times New Roman" w:cs="Times New Roman"/>
          <w:sz w:val="24"/>
          <w:szCs w:val="24"/>
        </w:rPr>
        <w:t>Apskritojo stalo diskusija</w:t>
      </w:r>
      <w:r w:rsidR="00F61981" w:rsidRPr="00F61981">
        <w:rPr>
          <w:rFonts w:ascii="Times New Roman" w:eastAsia="Times New Roman" w:hAnsi="Times New Roman" w:cs="Times New Roman"/>
          <w:sz w:val="24"/>
          <w:szCs w:val="24"/>
        </w:rPr>
        <w:t xml:space="preserve"> kartu su Savivaldybės vadovais, politikais, švietimo įstaigų vadovais</w:t>
      </w:r>
      <w:r w:rsidR="00345EAE">
        <w:rPr>
          <w:rFonts w:ascii="Times New Roman" w:eastAsia="Times New Roman" w:hAnsi="Times New Roman" w:cs="Times New Roman"/>
          <w:sz w:val="24"/>
          <w:szCs w:val="24"/>
        </w:rPr>
        <w:t>, kurioje</w:t>
      </w:r>
      <w:r w:rsidR="00F61981" w:rsidRPr="00F61981">
        <w:rPr>
          <w:rFonts w:ascii="Times New Roman" w:eastAsia="Times New Roman" w:hAnsi="Times New Roman" w:cs="Times New Roman"/>
          <w:sz w:val="24"/>
          <w:szCs w:val="24"/>
        </w:rPr>
        <w:t xml:space="preserve"> buvo pristatyti veiklos rezultatai ir aptartas veiklos tęstinumas.</w:t>
      </w:r>
      <w:r w:rsidR="00831677">
        <w:rPr>
          <w:rFonts w:ascii="Times New Roman" w:eastAsia="Times New Roman" w:hAnsi="Times New Roman" w:cs="Times New Roman"/>
          <w:sz w:val="24"/>
          <w:szCs w:val="24"/>
        </w:rPr>
        <w:t xml:space="preserve"> </w:t>
      </w:r>
      <w:r w:rsidR="00F61981" w:rsidRPr="00F61981">
        <w:rPr>
          <w:rFonts w:ascii="Times New Roman" w:eastAsia="Times New Roman" w:hAnsi="Times New Roman" w:cs="Times New Roman"/>
          <w:sz w:val="24"/>
          <w:szCs w:val="24"/>
        </w:rPr>
        <w:t>Išanalizavus turimus duomenis (tyrimai, kokybės įsivertinimo, išorinio vertinimo, stebėsenos rodiklių, standartizuotų testų, brandos egzaminų, PUPP rezultatų analizė)  bei siekiant užtikrinti veiklos tęstinumą susitarta dėl veiklos</w:t>
      </w:r>
      <w:r w:rsidR="005F53B3">
        <w:rPr>
          <w:rFonts w:ascii="Times New Roman" w:eastAsia="Times New Roman" w:hAnsi="Times New Roman" w:cs="Times New Roman"/>
          <w:sz w:val="24"/>
          <w:szCs w:val="24"/>
        </w:rPr>
        <w:t xml:space="preserve"> prioriteto 2015–</w:t>
      </w:r>
      <w:r w:rsidR="00F61981" w:rsidRPr="00F61981">
        <w:rPr>
          <w:rFonts w:ascii="Times New Roman" w:eastAsia="Times New Roman" w:hAnsi="Times New Roman" w:cs="Times New Roman"/>
          <w:sz w:val="24"/>
          <w:szCs w:val="24"/>
        </w:rPr>
        <w:t>2019 metams „Pagalbos mokiniui tobulinimas, atsižvelgiant į jo individualius gebėjimus ir poreikius. Kiekvieno mokinio ind</w:t>
      </w:r>
      <w:r w:rsidR="005F53B3">
        <w:rPr>
          <w:rFonts w:ascii="Times New Roman" w:eastAsia="Times New Roman" w:hAnsi="Times New Roman" w:cs="Times New Roman"/>
          <w:sz w:val="24"/>
          <w:szCs w:val="24"/>
        </w:rPr>
        <w:t xml:space="preserve">ividualios pažangos stebėjimas“. </w:t>
      </w:r>
      <w:r w:rsidR="00F61981" w:rsidRPr="00F61981">
        <w:rPr>
          <w:rFonts w:ascii="Times New Roman" w:eastAsia="Times New Roman" w:hAnsi="Times New Roman" w:cs="Times New Roman"/>
          <w:sz w:val="24"/>
          <w:szCs w:val="24"/>
        </w:rPr>
        <w:t xml:space="preserve">Patvirtintas 2015–2019 metų ugdymo kokybės tobulinimo </w:t>
      </w:r>
      <w:r w:rsidR="00F61981" w:rsidRPr="00F61981">
        <w:rPr>
          <w:rFonts w:ascii="Times New Roman" w:eastAsia="Times New Roman" w:hAnsi="Times New Roman" w:cs="Times New Roman"/>
          <w:sz w:val="24"/>
          <w:szCs w:val="24"/>
        </w:rPr>
        <w:lastRenderedPageBreak/>
        <w:t>Kaišiadorių rajono bendrojo ugdymo mokyklose planas</w:t>
      </w:r>
      <w:r w:rsidR="00831677">
        <w:rPr>
          <w:rFonts w:ascii="Times New Roman" w:eastAsia="Times New Roman" w:hAnsi="Times New Roman" w:cs="Times New Roman"/>
          <w:sz w:val="24"/>
          <w:szCs w:val="24"/>
        </w:rPr>
        <w:t xml:space="preserve"> </w:t>
      </w:r>
      <w:r w:rsidR="00F61981" w:rsidRPr="00F61981">
        <w:rPr>
          <w:rFonts w:ascii="Times New Roman" w:eastAsia="Times New Roman" w:hAnsi="Times New Roman" w:cs="Times New Roman"/>
          <w:sz w:val="24"/>
          <w:szCs w:val="24"/>
        </w:rPr>
        <w:t xml:space="preserve">(Kaišiadorių rajono savivaldybės </w:t>
      </w:r>
      <w:r w:rsidR="00793FB0">
        <w:rPr>
          <w:rFonts w:ascii="Times New Roman" w:eastAsia="Times New Roman" w:hAnsi="Times New Roman" w:cs="Times New Roman"/>
          <w:sz w:val="24"/>
          <w:szCs w:val="24"/>
        </w:rPr>
        <w:t>administracijos Š</w:t>
      </w:r>
      <w:r w:rsidR="00F61981" w:rsidRPr="00F61981">
        <w:rPr>
          <w:rFonts w:ascii="Times New Roman" w:eastAsia="Times New Roman" w:hAnsi="Times New Roman" w:cs="Times New Roman"/>
          <w:sz w:val="24"/>
          <w:szCs w:val="24"/>
        </w:rPr>
        <w:t>vietimo skyriaus vedėjo 2014 m. gruodžio 31 d. įsakymas Nr. DS-416), kuriame numatytos</w:t>
      </w:r>
      <w:r w:rsidR="005F53B3">
        <w:rPr>
          <w:rFonts w:ascii="Times New Roman" w:eastAsia="Times New Roman" w:hAnsi="Times New Roman" w:cs="Times New Roman"/>
          <w:sz w:val="24"/>
          <w:szCs w:val="24"/>
        </w:rPr>
        <w:t xml:space="preserve"> priemonės, padėsiančio</w:t>
      </w:r>
      <w:r w:rsidR="00793FB0">
        <w:rPr>
          <w:rFonts w:ascii="Times New Roman" w:eastAsia="Times New Roman" w:hAnsi="Times New Roman" w:cs="Times New Roman"/>
          <w:sz w:val="24"/>
          <w:szCs w:val="24"/>
        </w:rPr>
        <w:t xml:space="preserve">s gerinti </w:t>
      </w:r>
      <w:r w:rsidR="005F53B3">
        <w:rPr>
          <w:rFonts w:ascii="Times New Roman" w:eastAsia="Times New Roman" w:hAnsi="Times New Roman" w:cs="Times New Roman"/>
          <w:sz w:val="24"/>
          <w:szCs w:val="24"/>
        </w:rPr>
        <w:t xml:space="preserve"> kiekvieno mokinio pažangą ir pasiekim</w:t>
      </w:r>
      <w:r w:rsidR="00793FB0">
        <w:rPr>
          <w:rFonts w:ascii="Times New Roman" w:eastAsia="Times New Roman" w:hAnsi="Times New Roman" w:cs="Times New Roman"/>
          <w:sz w:val="24"/>
          <w:szCs w:val="24"/>
        </w:rPr>
        <w:t>us</w:t>
      </w:r>
      <w:r w:rsidR="005F53B3">
        <w:rPr>
          <w:rFonts w:ascii="Times New Roman" w:eastAsia="Times New Roman" w:hAnsi="Times New Roman" w:cs="Times New Roman"/>
          <w:sz w:val="24"/>
          <w:szCs w:val="24"/>
        </w:rPr>
        <w:t>.</w:t>
      </w:r>
      <w:r w:rsidR="00831677">
        <w:rPr>
          <w:rFonts w:ascii="Times New Roman" w:eastAsia="Times New Roman" w:hAnsi="Times New Roman" w:cs="Times New Roman"/>
          <w:sz w:val="24"/>
          <w:szCs w:val="24"/>
        </w:rPr>
        <w:t xml:space="preserve"> </w:t>
      </w:r>
      <w:r w:rsidR="00345EAE" w:rsidRPr="00345EAE">
        <w:rPr>
          <w:rFonts w:ascii="Times New Roman" w:eastAsia="Calibri" w:hAnsi="Times New Roman" w:cs="Times New Roman"/>
          <w:sz w:val="24"/>
          <w:szCs w:val="24"/>
        </w:rPr>
        <w:t>Kaišiadorių rajono savivaldybė 2017-05-02–2019-12</w:t>
      </w:r>
      <w:r w:rsidR="00345EAE" w:rsidRPr="00345EAE">
        <w:rPr>
          <w:rFonts w:ascii="Times New Roman" w:eastAsia="+mn-ea" w:hAnsi="Times New Roman" w:cs="Times New Roman"/>
          <w:sz w:val="24"/>
          <w:szCs w:val="24"/>
        </w:rPr>
        <w:t xml:space="preserve"> dalyvauja L</w:t>
      </w:r>
      <w:r w:rsidR="00D4459C">
        <w:rPr>
          <w:rFonts w:ascii="Times New Roman" w:eastAsia="+mn-ea" w:hAnsi="Times New Roman" w:cs="Times New Roman"/>
          <w:sz w:val="24"/>
          <w:szCs w:val="24"/>
        </w:rPr>
        <w:t xml:space="preserve">yderių laikas </w:t>
      </w:r>
      <w:r w:rsidR="00345EAE" w:rsidRPr="00345EAE">
        <w:rPr>
          <w:rFonts w:ascii="Times New Roman" w:eastAsia="+mn-ea" w:hAnsi="Times New Roman" w:cs="Times New Roman"/>
          <w:sz w:val="24"/>
          <w:szCs w:val="24"/>
        </w:rPr>
        <w:t>3 projekte, kurio tikslas</w:t>
      </w:r>
      <w:r w:rsidR="00345EAE" w:rsidRPr="00345EAE">
        <w:rPr>
          <w:rFonts w:ascii="Times New Roman" w:eastAsia="Calibri" w:hAnsi="Times New Roman" w:cs="Times New Roman"/>
          <w:sz w:val="24"/>
          <w:szCs w:val="24"/>
        </w:rPr>
        <w:t xml:space="preserve"> – tvirtinti lyderystei palankią infrastruktūrą Lietuvos švietimo sistemoje, užtikrinančią nacionalinio, savivaldos ir mokyklų lygmens švietimo lyderių bendruomenės susitelkimą </w:t>
      </w:r>
      <w:r w:rsidR="00345EAE" w:rsidRPr="00345EAE">
        <w:rPr>
          <w:rFonts w:ascii="Times New Roman" w:eastAsia="Calibri" w:hAnsi="Times New Roman" w:cs="Times New Roman"/>
          <w:bCs/>
          <w:sz w:val="24"/>
          <w:szCs w:val="24"/>
        </w:rPr>
        <w:t>vardan besimokančiųjų mokymosi sėkmės.</w:t>
      </w:r>
      <w:r w:rsidR="00345EAE" w:rsidRPr="00345EAE">
        <w:rPr>
          <w:rFonts w:ascii="Times New Roman" w:eastAsia="+mn-ea" w:hAnsi="Times New Roman" w:cs="Times New Roman"/>
          <w:bCs/>
          <w:sz w:val="24"/>
          <w:szCs w:val="24"/>
        </w:rPr>
        <w:t xml:space="preserve"> Suburta kūrybinė komanda, kuri kartu su savivaldybės švietimo bendruomene, susitarė dėl švietimo pokyčio projekto vizijos – nuo atsakomybės link savarankiškumo: susitarimai siekiant kiekvieno mokinio pažangos ir temos – įsivertinimas, ugdantis mokinio atsakomybę ir savarankiškumą. Šiuo projektu tikimasi priimti susitarimus savivaldybės mokyklų, mokyklų-mokytojų, mokytojų-mokinių lygmenyse, kurie </w:t>
      </w:r>
      <w:r w:rsidR="00345EAE" w:rsidRPr="00345EAE">
        <w:rPr>
          <w:rFonts w:ascii="Times New Roman" w:eastAsia="Calibri" w:hAnsi="Times New Roman" w:cs="Times New Roman"/>
          <w:sz w:val="24"/>
          <w:szCs w:val="24"/>
        </w:rPr>
        <w:t xml:space="preserve">ugdys vaiko atsakomybę ir savarankiškumą, nes vaikas, gebantis atsakingai vertinti savo veiklą ir turintis galimybę pasirinkti, prisiims atsakomybę už savo mokymąsi ir gebės tai daryti savarankiškai, o tai sudarys prielaidą kiekvieno mokinio pažangos </w:t>
      </w:r>
      <w:proofErr w:type="spellStart"/>
      <w:r w:rsidR="00345EAE" w:rsidRPr="00345EAE">
        <w:rPr>
          <w:rFonts w:ascii="Times New Roman" w:eastAsia="Calibri" w:hAnsi="Times New Roman" w:cs="Times New Roman"/>
          <w:sz w:val="24"/>
          <w:szCs w:val="24"/>
        </w:rPr>
        <w:t>ūgčiai</w:t>
      </w:r>
      <w:proofErr w:type="spellEnd"/>
      <w:r w:rsidR="00345EAE" w:rsidRPr="00345EAE">
        <w:rPr>
          <w:rFonts w:ascii="Times New Roman" w:eastAsia="Calibri" w:hAnsi="Times New Roman" w:cs="Times New Roman"/>
          <w:sz w:val="24"/>
          <w:szCs w:val="24"/>
        </w:rPr>
        <w:t xml:space="preserve"> bei pasiekimų gerinimui.</w:t>
      </w:r>
    </w:p>
    <w:p w:rsidR="00DB4AA3" w:rsidRDefault="00DB4AA3" w:rsidP="00345EAE">
      <w:pPr>
        <w:tabs>
          <w:tab w:val="num" w:pos="720"/>
        </w:tabs>
        <w:spacing w:after="0" w:line="360" w:lineRule="auto"/>
        <w:ind w:firstLine="567"/>
        <w:jc w:val="both"/>
        <w:rPr>
          <w:rFonts w:ascii="Times New Roman" w:eastAsia="Calibri" w:hAnsi="Times New Roman" w:cs="Times New Roman"/>
          <w:sz w:val="24"/>
          <w:szCs w:val="24"/>
        </w:rPr>
      </w:pPr>
    </w:p>
    <w:p w:rsidR="001662F4" w:rsidRDefault="00E5650E" w:rsidP="001662F4">
      <w:pPr>
        <w:pStyle w:val="Sraopastraipa"/>
        <w:numPr>
          <w:ilvl w:val="0"/>
          <w:numId w:val="3"/>
        </w:numPr>
        <w:tabs>
          <w:tab w:val="num"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SOCIALINĖ-EKONOMINĖ BŪKLĖ (KONTEKSTAS)</w:t>
      </w:r>
    </w:p>
    <w:p w:rsidR="00E234A4" w:rsidRDefault="001662F4" w:rsidP="00831677">
      <w:pPr>
        <w:spacing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t xml:space="preserve">Parengtas ir patvirtintas Kaišiadorių rajono savivaldybės </w:t>
      </w:r>
      <w:r w:rsidRPr="001662F4">
        <w:rPr>
          <w:rFonts w:ascii="Times New Roman" w:eastAsia="Times New Roman" w:hAnsi="Times New Roman" w:cs="Times New Roman"/>
          <w:sz w:val="24"/>
          <w:szCs w:val="24"/>
        </w:rPr>
        <w:t>bendrojo ugdymo mokyklų tinklo pertvark</w:t>
      </w:r>
      <w:r w:rsidR="00E234A4">
        <w:rPr>
          <w:rFonts w:ascii="Times New Roman" w:eastAsia="Times New Roman" w:hAnsi="Times New Roman" w:cs="Times New Roman"/>
          <w:sz w:val="24"/>
          <w:szCs w:val="24"/>
        </w:rPr>
        <w:t>os 2016–2020 metų bendrasis</w:t>
      </w:r>
      <w:r>
        <w:rPr>
          <w:rFonts w:ascii="Times New Roman" w:eastAsia="Times New Roman" w:hAnsi="Times New Roman" w:cs="Times New Roman"/>
          <w:sz w:val="24"/>
          <w:szCs w:val="24"/>
        </w:rPr>
        <w:t xml:space="preserve"> planas (Kaišiadorių rajono savivaldybės tarybos 2016 m. </w:t>
      </w:r>
      <w:r w:rsidR="00592213">
        <w:rPr>
          <w:rFonts w:ascii="Times New Roman" w:eastAsia="Times New Roman" w:hAnsi="Times New Roman" w:cs="Times New Roman"/>
          <w:sz w:val="24"/>
          <w:szCs w:val="24"/>
        </w:rPr>
        <w:t>s</w:t>
      </w:r>
      <w:r w:rsidR="00E234A4">
        <w:rPr>
          <w:rFonts w:ascii="Times New Roman" w:eastAsia="Times New Roman" w:hAnsi="Times New Roman" w:cs="Times New Roman"/>
          <w:sz w:val="24"/>
          <w:szCs w:val="24"/>
        </w:rPr>
        <w:t xml:space="preserve">ausio 28 d. sprendimas Nr. V17-), kurio paskirtis – </w:t>
      </w:r>
      <w:r w:rsidR="00E234A4" w:rsidRPr="00E234A4">
        <w:rPr>
          <w:rFonts w:ascii="Times New Roman" w:eastAsia="Times New Roman" w:hAnsi="Times New Roman" w:cs="Times New Roman"/>
          <w:sz w:val="24"/>
          <w:szCs w:val="24"/>
        </w:rPr>
        <w:t xml:space="preserve">sukurti savitą, švietimo įstaigų bendradarbiavimo pagrindu veikiančią ugdymo sistemą, atliepiančią mokinių poreikius ir užtikrinančią švietimo programų įvairovę ir prieinamumą. </w:t>
      </w:r>
      <w:r w:rsidR="00E234A4">
        <w:rPr>
          <w:rFonts w:ascii="Times New Roman" w:eastAsia="Times New Roman" w:hAnsi="Times New Roman" w:cs="Times New Roman"/>
          <w:sz w:val="24"/>
          <w:szCs w:val="24"/>
        </w:rPr>
        <w:t>Mokyklų skaičiaus kaita :</w:t>
      </w:r>
    </w:p>
    <w:p w:rsidR="00E234A4" w:rsidRPr="00E234A4" w:rsidRDefault="00E234A4" w:rsidP="00E234A4">
      <w:pPr>
        <w:jc w:val="both"/>
        <w:rPr>
          <w:rFonts w:ascii="Times New Roman" w:eastAsia="Times New Roman" w:hAnsi="Times New Roman" w:cs="Times New Roman"/>
          <w:sz w:val="24"/>
          <w:szCs w:val="24"/>
        </w:rPr>
      </w:pPr>
      <w:r w:rsidRPr="00E234A4">
        <w:rPr>
          <w:rFonts w:ascii="Times New Roman" w:eastAsia="Times New Roman" w:hAnsi="Times New Roman" w:cs="Times New Roman"/>
          <w:b/>
          <w:noProof/>
          <w:color w:val="FF0000"/>
          <w:sz w:val="24"/>
          <w:szCs w:val="24"/>
          <w:lang w:eastAsia="lt-LT"/>
        </w:rPr>
        <w:drawing>
          <wp:inline distT="0" distB="0" distL="0" distR="0">
            <wp:extent cx="6105525" cy="2362200"/>
            <wp:effectExtent l="0" t="0" r="9525" b="0"/>
            <wp:docPr id="1" name="Diagra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62F4" w:rsidRDefault="001662F4" w:rsidP="001662F4">
      <w:pPr>
        <w:pStyle w:val="Sraopastraipa"/>
        <w:tabs>
          <w:tab w:val="num" w:pos="0"/>
          <w:tab w:val="left" w:pos="567"/>
        </w:tabs>
        <w:spacing w:after="0" w:line="360" w:lineRule="auto"/>
        <w:ind w:left="0"/>
        <w:jc w:val="both"/>
        <w:rPr>
          <w:rFonts w:ascii="Times New Roman" w:eastAsia="Calibri" w:hAnsi="Times New Roman" w:cs="Times New Roman"/>
          <w:sz w:val="24"/>
          <w:szCs w:val="24"/>
        </w:rPr>
      </w:pPr>
    </w:p>
    <w:p w:rsidR="000A610E" w:rsidRDefault="002037E8"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Kaip ir visoje Lietuvoje, stebimas mokinių skaičiaus mažėjimas </w:t>
      </w:r>
      <w:r w:rsidR="000A610E">
        <w:rPr>
          <w:rFonts w:ascii="Times New Roman" w:eastAsia="Calibri" w:hAnsi="Times New Roman" w:cs="Times New Roman"/>
          <w:sz w:val="24"/>
          <w:szCs w:val="24"/>
        </w:rPr>
        <w:t>Kaišiadorių rajono savivaldybėje</w:t>
      </w:r>
      <w:r>
        <w:rPr>
          <w:rFonts w:ascii="Times New Roman" w:eastAsia="Calibri" w:hAnsi="Times New Roman" w:cs="Times New Roman"/>
          <w:sz w:val="24"/>
          <w:szCs w:val="24"/>
        </w:rPr>
        <w:t>. Per trejus metus sumažėjo 166 mokiniais.</w:t>
      </w:r>
      <w:r w:rsidR="00D82CFC">
        <w:rPr>
          <w:rFonts w:ascii="Times New Roman" w:eastAsia="Calibri" w:hAnsi="Times New Roman" w:cs="Times New Roman"/>
          <w:sz w:val="24"/>
          <w:szCs w:val="24"/>
        </w:rPr>
        <w:t xml:space="preserve"> </w:t>
      </w:r>
      <w:r>
        <w:rPr>
          <w:rFonts w:ascii="Times New Roman" w:eastAsia="Calibri" w:hAnsi="Times New Roman" w:cs="Times New Roman"/>
          <w:sz w:val="24"/>
          <w:szCs w:val="24"/>
        </w:rPr>
        <w:t>Mokinių skaičiaus kaita:</w:t>
      </w:r>
    </w:p>
    <w:p w:rsidR="000A610E" w:rsidRDefault="000A610E"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0A610E" w:rsidRDefault="000A610E"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lastRenderedPageBreak/>
        <w:drawing>
          <wp:inline distT="0" distB="0" distL="0" distR="0">
            <wp:extent cx="5486400" cy="2314575"/>
            <wp:effectExtent l="0" t="0" r="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10E" w:rsidRDefault="000A610E"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227806" w:rsidRDefault="00227806"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Nors mokinių skaičius ir mažėja mokyklose, tačiau vidutinis mokinių skaičius mokyklose išlieka stabilus, todėl darytina išvada, kad savivaldybėje tinklo pertvarka atliekama nuosekliai ir </w:t>
      </w:r>
      <w:r w:rsidR="005D3397">
        <w:rPr>
          <w:rFonts w:ascii="Times New Roman" w:eastAsia="Calibri" w:hAnsi="Times New Roman" w:cs="Times New Roman"/>
          <w:sz w:val="24"/>
          <w:szCs w:val="24"/>
        </w:rPr>
        <w:t>savalaikiai</w:t>
      </w:r>
      <w:r>
        <w:rPr>
          <w:rFonts w:ascii="Times New Roman" w:eastAsia="Calibri" w:hAnsi="Times New Roman" w:cs="Times New Roman"/>
          <w:sz w:val="24"/>
          <w:szCs w:val="24"/>
        </w:rPr>
        <w:t>.</w:t>
      </w:r>
    </w:p>
    <w:p w:rsidR="00227806" w:rsidRDefault="00227806"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Mokinių skaičiaus vidurkio kaita mokyklose:</w:t>
      </w:r>
    </w:p>
    <w:p w:rsidR="00227806" w:rsidRDefault="00227806"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drawing>
          <wp:inline distT="0" distB="0" distL="0" distR="0">
            <wp:extent cx="5486400" cy="22479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7806" w:rsidRDefault="00227806"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6013CA" w:rsidRDefault="00E42F5B"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013CA">
        <w:rPr>
          <w:rFonts w:ascii="Times New Roman" w:eastAsia="Calibri" w:hAnsi="Times New Roman" w:cs="Times New Roman"/>
          <w:sz w:val="24"/>
          <w:szCs w:val="24"/>
        </w:rPr>
        <w:t>Vidutinio mokinių skaičiaus klasės komplekte savivaldybėje pagal vietovę ir bendrojo ugdymo programą kaita:</w:t>
      </w:r>
    </w:p>
    <w:tbl>
      <w:tblPr>
        <w:tblStyle w:val="Lentelstinklelis"/>
        <w:tblW w:w="0" w:type="auto"/>
        <w:tblLook w:val="04A0" w:firstRow="1" w:lastRow="0" w:firstColumn="1" w:lastColumn="0" w:noHBand="0" w:noVBand="1"/>
      </w:tblPr>
      <w:tblGrid>
        <w:gridCol w:w="1375"/>
        <w:gridCol w:w="1375"/>
        <w:gridCol w:w="1375"/>
        <w:gridCol w:w="1375"/>
        <w:gridCol w:w="1376"/>
        <w:gridCol w:w="1376"/>
        <w:gridCol w:w="1376"/>
      </w:tblGrid>
      <w:tr w:rsidR="00E42F5B" w:rsidTr="00A7732B">
        <w:tc>
          <w:tcPr>
            <w:tcW w:w="1375" w:type="dxa"/>
            <w:vMerge w:val="restart"/>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p>
        </w:tc>
        <w:tc>
          <w:tcPr>
            <w:tcW w:w="2750" w:type="dxa"/>
            <w:gridSpan w:val="2"/>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Pradinis ugdymas</w:t>
            </w:r>
          </w:p>
        </w:tc>
        <w:tc>
          <w:tcPr>
            <w:tcW w:w="2751" w:type="dxa"/>
            <w:gridSpan w:val="2"/>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Pagrindinis ugdymas</w:t>
            </w:r>
          </w:p>
        </w:tc>
        <w:tc>
          <w:tcPr>
            <w:tcW w:w="2752" w:type="dxa"/>
            <w:gridSpan w:val="2"/>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Vidurinis ugdymas</w:t>
            </w:r>
          </w:p>
        </w:tc>
      </w:tr>
      <w:tr w:rsidR="00E42F5B" w:rsidTr="00BA4274">
        <w:tc>
          <w:tcPr>
            <w:tcW w:w="1375" w:type="dxa"/>
            <w:vMerge/>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p>
        </w:tc>
        <w:tc>
          <w:tcPr>
            <w:tcW w:w="1375"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miestas</w:t>
            </w:r>
          </w:p>
        </w:tc>
        <w:tc>
          <w:tcPr>
            <w:tcW w:w="1375"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kaimas</w:t>
            </w:r>
          </w:p>
        </w:tc>
        <w:tc>
          <w:tcPr>
            <w:tcW w:w="1375"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miestas</w:t>
            </w:r>
          </w:p>
        </w:tc>
        <w:tc>
          <w:tcPr>
            <w:tcW w:w="1376"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kaimas</w:t>
            </w:r>
          </w:p>
        </w:tc>
        <w:tc>
          <w:tcPr>
            <w:tcW w:w="1376"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miestas</w:t>
            </w:r>
          </w:p>
        </w:tc>
        <w:tc>
          <w:tcPr>
            <w:tcW w:w="1376" w:type="dxa"/>
          </w:tcPr>
          <w:p w:rsidR="00E42F5B" w:rsidRDefault="00E42F5B" w:rsidP="000A610E">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kaimas</w:t>
            </w:r>
          </w:p>
        </w:tc>
      </w:tr>
      <w:tr w:rsidR="00E42F5B" w:rsidTr="00BA4274">
        <w:tc>
          <w:tcPr>
            <w:tcW w:w="1375" w:type="dxa"/>
          </w:tcPr>
          <w:p w:rsidR="00E42F5B" w:rsidRDefault="00D82CFC" w:rsidP="00E42F5B">
            <w:pPr>
              <w:pStyle w:val="Sraopastraipa"/>
              <w:tabs>
                <w:tab w:val="num" w:pos="720"/>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2015–</w:t>
            </w:r>
            <w:r w:rsidR="00E42F5B">
              <w:rPr>
                <w:rFonts w:ascii="Times New Roman" w:eastAsia="Calibri" w:hAnsi="Times New Roman" w:cs="Times New Roman"/>
                <w:sz w:val="24"/>
                <w:szCs w:val="24"/>
              </w:rPr>
              <w:t xml:space="preserve">2016 </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21,8</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22,5</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17,1</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26,2</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25,8</w:t>
            </w:r>
          </w:p>
        </w:tc>
      </w:tr>
      <w:tr w:rsidR="00E42F5B" w:rsidTr="00BA4274">
        <w:tc>
          <w:tcPr>
            <w:tcW w:w="1375" w:type="dxa"/>
          </w:tcPr>
          <w:p w:rsidR="00E42F5B" w:rsidRDefault="00E42F5B" w:rsidP="00E42F5B">
            <w:pPr>
              <w:pStyle w:val="Sraopastraipa"/>
              <w:tabs>
                <w:tab w:val="num" w:pos="720"/>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2016–2017 </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27,1</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26,3</w:t>
            </w:r>
          </w:p>
        </w:tc>
      </w:tr>
      <w:tr w:rsidR="00E42F5B" w:rsidTr="00BA4274">
        <w:tc>
          <w:tcPr>
            <w:tcW w:w="1375" w:type="dxa"/>
          </w:tcPr>
          <w:p w:rsidR="00E42F5B" w:rsidRDefault="00E42F5B" w:rsidP="00E42F5B">
            <w:pPr>
              <w:pStyle w:val="Sraopastraipa"/>
              <w:tabs>
                <w:tab w:val="num" w:pos="720"/>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2017–2018 </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1375"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22,7</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24,1</w:t>
            </w:r>
          </w:p>
        </w:tc>
        <w:tc>
          <w:tcPr>
            <w:tcW w:w="1376" w:type="dxa"/>
          </w:tcPr>
          <w:p w:rsidR="00E42F5B" w:rsidRDefault="00E42F5B" w:rsidP="00E42F5B">
            <w:pPr>
              <w:pStyle w:val="Sraopastraipa"/>
              <w:tabs>
                <w:tab w:val="num" w:pos="720"/>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24,4</w:t>
            </w:r>
          </w:p>
        </w:tc>
      </w:tr>
    </w:tbl>
    <w:p w:rsidR="006013CA" w:rsidRDefault="006013CA"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6013CA" w:rsidRDefault="00E42F5B" w:rsidP="000A610E">
      <w:pPr>
        <w:pStyle w:val="Sraopastraipa"/>
        <w:tabs>
          <w:tab w:val="num" w:pos="72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Duomenys rodo, kad blogiausia situacija yra su vidurinio ugdymo programos vidutiniu mokinių skaičiumi klasėje, pagrindinio ir pradinio ugdymo programų vidutinis mokinių skaičius </w:t>
      </w:r>
      <w:r>
        <w:rPr>
          <w:rFonts w:ascii="Times New Roman" w:eastAsia="Calibri" w:hAnsi="Times New Roman" w:cs="Times New Roman"/>
          <w:sz w:val="24"/>
          <w:szCs w:val="24"/>
        </w:rPr>
        <w:lastRenderedPageBreak/>
        <w:t>išlieka panašus.</w:t>
      </w:r>
      <w:r w:rsidR="00DB4AA3">
        <w:rPr>
          <w:rFonts w:ascii="Times New Roman" w:eastAsia="Calibri" w:hAnsi="Times New Roman" w:cs="Times New Roman"/>
          <w:sz w:val="24"/>
          <w:szCs w:val="24"/>
        </w:rPr>
        <w:t xml:space="preserve"> Darytina išvada, kad reikia peržiūrėti mokyklų tinklą, optimizuojant vidurinio ugdymo programą teikiančių mokyklų tinklą.</w:t>
      </w:r>
    </w:p>
    <w:p w:rsidR="0019377E" w:rsidRPr="0019377E" w:rsidRDefault="009A615F" w:rsidP="0019377E">
      <w:pPr>
        <w:spacing w:line="360" w:lineRule="auto"/>
        <w:rPr>
          <w:rFonts w:ascii="Times New Roman" w:hAnsi="Times New Roman" w:cs="Times New Roman"/>
          <w:sz w:val="24"/>
          <w:szCs w:val="24"/>
        </w:rPr>
      </w:pPr>
      <w:r>
        <w:rPr>
          <w:rFonts w:ascii="Times New Roman" w:eastAsia="Calibri" w:hAnsi="Times New Roman" w:cs="Times New Roman"/>
          <w:sz w:val="24"/>
          <w:szCs w:val="24"/>
        </w:rPr>
        <w:tab/>
      </w:r>
      <w:r w:rsidR="000A610E" w:rsidRPr="0019377E">
        <w:rPr>
          <w:rFonts w:ascii="Times New Roman" w:eastAsia="Calibri" w:hAnsi="Times New Roman" w:cs="Times New Roman"/>
          <w:sz w:val="24"/>
          <w:szCs w:val="24"/>
        </w:rPr>
        <w:t xml:space="preserve">2015–2017 m. </w:t>
      </w:r>
      <w:r w:rsidR="0019377E" w:rsidRPr="0019377E">
        <w:rPr>
          <w:rFonts w:ascii="Times New Roman" w:hAnsi="Times New Roman" w:cs="Times New Roman"/>
          <w:sz w:val="24"/>
          <w:szCs w:val="24"/>
        </w:rPr>
        <w:t xml:space="preserve">Švietimo programai panaudotų  lėšų procentas nuo įvykdyto bendro savivaldybės biudžeto </w:t>
      </w:r>
      <w:r w:rsidR="0019377E" w:rsidRPr="0019377E">
        <w:rPr>
          <w:rFonts w:ascii="Times New Roman" w:eastAsia="Calibri" w:hAnsi="Times New Roman" w:cs="Times New Roman"/>
          <w:sz w:val="24"/>
          <w:szCs w:val="24"/>
        </w:rPr>
        <w:t>trejus metus išlieka</w:t>
      </w:r>
      <w:r w:rsidR="0019377E">
        <w:rPr>
          <w:rFonts w:ascii="Times New Roman" w:eastAsia="Calibri" w:hAnsi="Times New Roman" w:cs="Times New Roman"/>
          <w:sz w:val="24"/>
          <w:szCs w:val="24"/>
        </w:rPr>
        <w:t xml:space="preserve"> panašus, jis padidėjo, tik 1,26 procentine dalimi:</w:t>
      </w:r>
    </w:p>
    <w:p w:rsidR="00E5650E" w:rsidRDefault="00E5650E"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19377E" w:rsidRDefault="0019377E" w:rsidP="000A610E">
      <w:pPr>
        <w:pStyle w:val="Sraopastraipa"/>
        <w:tabs>
          <w:tab w:val="num" w:pos="720"/>
        </w:tabs>
        <w:spacing w:after="0" w:line="360" w:lineRule="auto"/>
        <w:ind w:left="0"/>
        <w:jc w:val="both"/>
        <w:rPr>
          <w:rFonts w:ascii="Times New Roman" w:eastAsia="Calibri" w:hAnsi="Times New Roman" w:cs="Times New Roman"/>
          <w:sz w:val="24"/>
          <w:szCs w:val="24"/>
        </w:rPr>
      </w:pPr>
      <w:bookmarkStart w:id="0" w:name="_GoBack"/>
      <w:r w:rsidRPr="0019377E">
        <w:rPr>
          <w:rFonts w:ascii="Times New Roman" w:eastAsia="Calibri" w:hAnsi="Times New Roman" w:cs="Times New Roman"/>
          <w:noProof/>
          <w:sz w:val="24"/>
          <w:szCs w:val="24"/>
          <w:lang w:eastAsia="lt-LT"/>
        </w:rPr>
        <w:drawing>
          <wp:inline distT="0" distB="0" distL="0" distR="0">
            <wp:extent cx="5972175" cy="2247900"/>
            <wp:effectExtent l="19050" t="0" r="9525" b="0"/>
            <wp:docPr id="11"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7729B8" w:rsidRDefault="007729B8" w:rsidP="000A610E">
      <w:pPr>
        <w:pStyle w:val="Sraopastraipa"/>
        <w:tabs>
          <w:tab w:val="num" w:pos="720"/>
        </w:tabs>
        <w:spacing w:after="0" w:line="360" w:lineRule="auto"/>
        <w:ind w:left="0"/>
        <w:jc w:val="both"/>
      </w:pPr>
    </w:p>
    <w:p w:rsidR="0019377E" w:rsidRPr="007729B8" w:rsidRDefault="007729B8" w:rsidP="000A610E">
      <w:pPr>
        <w:pStyle w:val="Sraopastraipa"/>
        <w:tabs>
          <w:tab w:val="num" w:pos="720"/>
        </w:tabs>
        <w:spacing w:after="0" w:line="360" w:lineRule="auto"/>
        <w:ind w:left="0"/>
        <w:jc w:val="both"/>
        <w:rPr>
          <w:rFonts w:ascii="Times New Roman" w:eastAsia="Calibri" w:hAnsi="Times New Roman" w:cs="Times New Roman"/>
          <w:sz w:val="24"/>
          <w:szCs w:val="24"/>
        </w:rPr>
      </w:pPr>
      <w:r>
        <w:tab/>
      </w:r>
      <w:r w:rsidRPr="007729B8">
        <w:rPr>
          <w:rFonts w:ascii="Times New Roman" w:hAnsi="Times New Roman" w:cs="Times New Roman"/>
          <w:sz w:val="24"/>
          <w:szCs w:val="24"/>
        </w:rPr>
        <w:t xml:space="preserve">Mokinio krepšelio lėšų buvo panaudota atitinkamai  23,57 </w:t>
      </w:r>
      <w:r w:rsidRPr="00831677">
        <w:rPr>
          <w:rFonts w:ascii="Times New Roman" w:hAnsi="Times New Roman" w:cs="Times New Roman"/>
          <w:sz w:val="24"/>
          <w:szCs w:val="24"/>
        </w:rPr>
        <w:t xml:space="preserve">%, 24,74 % ir 24,87 % </w:t>
      </w:r>
      <w:r w:rsidRPr="007729B8">
        <w:rPr>
          <w:rFonts w:ascii="Times New Roman" w:hAnsi="Times New Roman" w:cs="Times New Roman"/>
          <w:sz w:val="24"/>
          <w:szCs w:val="24"/>
        </w:rPr>
        <w:t>nuo įvykdyto bendro savivaldybės biudžeto.</w:t>
      </w:r>
    </w:p>
    <w:p w:rsidR="007729B8" w:rsidRDefault="007729B8" w:rsidP="007729B8">
      <w:pPr>
        <w:tabs>
          <w:tab w:val="left" w:pos="709"/>
        </w:tabs>
        <w:spacing w:line="360" w:lineRule="auto"/>
        <w:rPr>
          <w:rFonts w:ascii="Times New Roman" w:hAnsi="Times New Roman" w:cs="Times New Roman"/>
          <w:sz w:val="24"/>
          <w:szCs w:val="24"/>
        </w:rPr>
      </w:pPr>
      <w:r>
        <w:tab/>
      </w:r>
      <w:r w:rsidRPr="007729B8">
        <w:rPr>
          <w:rFonts w:ascii="Times New Roman" w:hAnsi="Times New Roman" w:cs="Times New Roman"/>
          <w:sz w:val="24"/>
          <w:szCs w:val="24"/>
        </w:rPr>
        <w:t>Mažai kito ir vienam mokiniui vidutiniškai tenkančių biudžeto lėšų ūkio išlaidoms ir mokinio krepšelio lėšų dydis.</w:t>
      </w:r>
      <w:r>
        <w:rPr>
          <w:rFonts w:ascii="Times New Roman" w:hAnsi="Times New Roman" w:cs="Times New Roman"/>
          <w:sz w:val="24"/>
          <w:szCs w:val="24"/>
        </w:rPr>
        <w:t xml:space="preserve"> Stebimas didesnis mokinio krepšelio lėšų didėjimas vienam mokiniui –  per trejus metus jis padidėjo 109 eurais.</w:t>
      </w:r>
    </w:p>
    <w:tbl>
      <w:tblPr>
        <w:tblStyle w:val="Lentelstinklelis"/>
        <w:tblW w:w="0" w:type="auto"/>
        <w:tblLook w:val="04A0" w:firstRow="1" w:lastRow="0" w:firstColumn="1" w:lastColumn="0" w:noHBand="0" w:noVBand="1"/>
      </w:tblPr>
      <w:tblGrid>
        <w:gridCol w:w="2064"/>
        <w:gridCol w:w="3916"/>
        <w:gridCol w:w="3734"/>
      </w:tblGrid>
      <w:tr w:rsidR="007729B8" w:rsidTr="007729B8">
        <w:tc>
          <w:tcPr>
            <w:tcW w:w="2093"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Metai </w:t>
            </w:r>
          </w:p>
        </w:tc>
        <w:tc>
          <w:tcPr>
            <w:tcW w:w="3969"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Savivaldybės </w:t>
            </w:r>
            <w:r w:rsidRPr="007729B8">
              <w:rPr>
                <w:rFonts w:ascii="Times New Roman" w:hAnsi="Times New Roman" w:cs="Times New Roman"/>
                <w:sz w:val="24"/>
                <w:szCs w:val="24"/>
              </w:rPr>
              <w:t>biudž</w:t>
            </w:r>
            <w:r>
              <w:rPr>
                <w:rFonts w:ascii="Times New Roman" w:hAnsi="Times New Roman" w:cs="Times New Roman"/>
                <w:sz w:val="24"/>
                <w:szCs w:val="24"/>
              </w:rPr>
              <w:t xml:space="preserve">eto lėšų </w:t>
            </w:r>
            <w:r w:rsidRPr="007729B8">
              <w:rPr>
                <w:rFonts w:ascii="Times New Roman" w:hAnsi="Times New Roman" w:cs="Times New Roman"/>
                <w:sz w:val="24"/>
                <w:szCs w:val="24"/>
              </w:rPr>
              <w:t>ūkio išlaidoms</w:t>
            </w:r>
            <w:r>
              <w:rPr>
                <w:rFonts w:ascii="Times New Roman" w:hAnsi="Times New Roman" w:cs="Times New Roman"/>
                <w:sz w:val="24"/>
                <w:szCs w:val="24"/>
              </w:rPr>
              <w:t xml:space="preserve">  dydis tenkantis vienam mokiniui</w:t>
            </w:r>
          </w:p>
        </w:tc>
        <w:tc>
          <w:tcPr>
            <w:tcW w:w="3792"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M</w:t>
            </w:r>
            <w:r w:rsidRPr="007729B8">
              <w:rPr>
                <w:rFonts w:ascii="Times New Roman" w:hAnsi="Times New Roman" w:cs="Times New Roman"/>
                <w:sz w:val="24"/>
                <w:szCs w:val="24"/>
              </w:rPr>
              <w:t>okinio krepšelio l</w:t>
            </w:r>
            <w:r>
              <w:rPr>
                <w:rFonts w:ascii="Times New Roman" w:hAnsi="Times New Roman" w:cs="Times New Roman"/>
                <w:sz w:val="24"/>
                <w:szCs w:val="24"/>
              </w:rPr>
              <w:t>ėšų dydis tenkantis vienam mokiniui</w:t>
            </w:r>
          </w:p>
          <w:p w:rsidR="007729B8" w:rsidRDefault="007729B8" w:rsidP="007729B8">
            <w:pPr>
              <w:tabs>
                <w:tab w:val="left" w:pos="709"/>
              </w:tabs>
              <w:rPr>
                <w:rFonts w:ascii="Times New Roman" w:hAnsi="Times New Roman" w:cs="Times New Roman"/>
                <w:sz w:val="24"/>
                <w:szCs w:val="24"/>
              </w:rPr>
            </w:pPr>
          </w:p>
        </w:tc>
      </w:tr>
      <w:tr w:rsidR="007729B8" w:rsidTr="007729B8">
        <w:tc>
          <w:tcPr>
            <w:tcW w:w="2093"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2015 m.</w:t>
            </w:r>
          </w:p>
        </w:tc>
        <w:tc>
          <w:tcPr>
            <w:tcW w:w="3969"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910 </w:t>
            </w:r>
            <w:proofErr w:type="spellStart"/>
            <w:r>
              <w:rPr>
                <w:rFonts w:ascii="Times New Roman" w:hAnsi="Times New Roman" w:cs="Times New Roman"/>
                <w:sz w:val="24"/>
                <w:szCs w:val="24"/>
              </w:rPr>
              <w:t>Eur</w:t>
            </w:r>
            <w:proofErr w:type="spellEnd"/>
          </w:p>
        </w:tc>
        <w:tc>
          <w:tcPr>
            <w:tcW w:w="3792"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1262 </w:t>
            </w:r>
            <w:proofErr w:type="spellStart"/>
            <w:r>
              <w:rPr>
                <w:rFonts w:ascii="Times New Roman" w:hAnsi="Times New Roman" w:cs="Times New Roman"/>
                <w:sz w:val="24"/>
                <w:szCs w:val="24"/>
              </w:rPr>
              <w:t>Eur</w:t>
            </w:r>
            <w:proofErr w:type="spellEnd"/>
          </w:p>
        </w:tc>
      </w:tr>
      <w:tr w:rsidR="007729B8" w:rsidTr="007729B8">
        <w:tc>
          <w:tcPr>
            <w:tcW w:w="2093"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2016 m.</w:t>
            </w:r>
          </w:p>
        </w:tc>
        <w:tc>
          <w:tcPr>
            <w:tcW w:w="3969"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961 </w:t>
            </w:r>
            <w:proofErr w:type="spellStart"/>
            <w:r>
              <w:rPr>
                <w:rFonts w:ascii="Times New Roman" w:hAnsi="Times New Roman" w:cs="Times New Roman"/>
                <w:sz w:val="24"/>
                <w:szCs w:val="24"/>
              </w:rPr>
              <w:t>Eur</w:t>
            </w:r>
            <w:proofErr w:type="spellEnd"/>
          </w:p>
        </w:tc>
        <w:tc>
          <w:tcPr>
            <w:tcW w:w="3792"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1305 </w:t>
            </w:r>
            <w:proofErr w:type="spellStart"/>
            <w:r>
              <w:rPr>
                <w:rFonts w:ascii="Times New Roman" w:hAnsi="Times New Roman" w:cs="Times New Roman"/>
                <w:sz w:val="24"/>
                <w:szCs w:val="24"/>
              </w:rPr>
              <w:t>Eur</w:t>
            </w:r>
            <w:proofErr w:type="spellEnd"/>
          </w:p>
        </w:tc>
      </w:tr>
      <w:tr w:rsidR="007729B8" w:rsidTr="007729B8">
        <w:tc>
          <w:tcPr>
            <w:tcW w:w="2093"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2017 m.</w:t>
            </w:r>
          </w:p>
        </w:tc>
        <w:tc>
          <w:tcPr>
            <w:tcW w:w="3969"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943 </w:t>
            </w:r>
            <w:proofErr w:type="spellStart"/>
            <w:r>
              <w:rPr>
                <w:rFonts w:ascii="Times New Roman" w:hAnsi="Times New Roman" w:cs="Times New Roman"/>
                <w:sz w:val="24"/>
                <w:szCs w:val="24"/>
              </w:rPr>
              <w:t>Eur</w:t>
            </w:r>
            <w:proofErr w:type="spellEnd"/>
          </w:p>
        </w:tc>
        <w:tc>
          <w:tcPr>
            <w:tcW w:w="3792" w:type="dxa"/>
          </w:tcPr>
          <w:p w:rsidR="007729B8" w:rsidRDefault="007729B8" w:rsidP="007729B8">
            <w:pPr>
              <w:tabs>
                <w:tab w:val="left" w:pos="709"/>
              </w:tabs>
              <w:rPr>
                <w:rFonts w:ascii="Times New Roman" w:hAnsi="Times New Roman" w:cs="Times New Roman"/>
                <w:sz w:val="24"/>
                <w:szCs w:val="24"/>
              </w:rPr>
            </w:pPr>
            <w:r>
              <w:rPr>
                <w:rFonts w:ascii="Times New Roman" w:hAnsi="Times New Roman" w:cs="Times New Roman"/>
                <w:sz w:val="24"/>
                <w:szCs w:val="24"/>
              </w:rPr>
              <w:t xml:space="preserve">1371 </w:t>
            </w:r>
            <w:proofErr w:type="spellStart"/>
            <w:r>
              <w:rPr>
                <w:rFonts w:ascii="Times New Roman" w:hAnsi="Times New Roman" w:cs="Times New Roman"/>
                <w:sz w:val="24"/>
                <w:szCs w:val="24"/>
              </w:rPr>
              <w:t>Eur</w:t>
            </w:r>
            <w:proofErr w:type="spellEnd"/>
          </w:p>
        </w:tc>
      </w:tr>
    </w:tbl>
    <w:p w:rsidR="000A610E" w:rsidRPr="000A610E" w:rsidRDefault="000A610E" w:rsidP="000A610E">
      <w:pPr>
        <w:pStyle w:val="Sraopastraipa"/>
        <w:tabs>
          <w:tab w:val="num" w:pos="720"/>
        </w:tabs>
        <w:spacing w:after="0" w:line="360" w:lineRule="auto"/>
        <w:ind w:left="0"/>
        <w:jc w:val="both"/>
        <w:rPr>
          <w:rFonts w:ascii="Times New Roman" w:eastAsia="Calibri" w:hAnsi="Times New Roman" w:cs="Times New Roman"/>
          <w:sz w:val="24"/>
          <w:szCs w:val="24"/>
        </w:rPr>
      </w:pPr>
    </w:p>
    <w:p w:rsidR="00F61981" w:rsidRDefault="00F041FA" w:rsidP="00F041FA">
      <w:pPr>
        <w:pStyle w:val="Default"/>
        <w:numPr>
          <w:ilvl w:val="0"/>
          <w:numId w:val="3"/>
        </w:numPr>
        <w:spacing w:line="360" w:lineRule="auto"/>
        <w:jc w:val="both"/>
      </w:pPr>
      <w:r>
        <w:t>MOKYTOJAI</w:t>
      </w:r>
    </w:p>
    <w:p w:rsidR="00F041FA" w:rsidRDefault="00F041FA" w:rsidP="00660B0C">
      <w:pPr>
        <w:pStyle w:val="Default"/>
        <w:spacing w:line="360" w:lineRule="auto"/>
        <w:ind w:firstLine="567"/>
        <w:jc w:val="both"/>
      </w:pPr>
      <w:r>
        <w:t>Savivaldybės mokytojų kvalifikacija yra pakankamai aukšta, nes 32,2 proc. nuo bendro mokytojų skaičiaus, dirbančių pirmaeilėse pareigose turi įgijusių mokytojo metodininko ir mokytojo eksperto kvalifikacines kategorijas. Tikėtina, kad esant aukštos kvalifikacijos mokytojams, mokiniams bus sudarytos sąlygos siekti aukštesnių mokymosi pasiekimų.</w:t>
      </w:r>
    </w:p>
    <w:p w:rsidR="00F041FA" w:rsidRPr="0010343C" w:rsidRDefault="00F041FA" w:rsidP="00F041FA">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sidRPr="0010343C">
        <w:rPr>
          <w:rFonts w:ascii="Times New Roman" w:eastAsia="Times New Roman" w:hAnsi="Times New Roman" w:cs="Times New Roman"/>
          <w:sz w:val="24"/>
          <w:szCs w:val="24"/>
          <w:lang w:eastAsia="ar-SA"/>
        </w:rPr>
        <w:t>Kaišiadorių rajono savivaldybės pedagogų (mokytojų, auklėtojų) ir pagalbos specialistų, dirbančių pirmaeilėse pareigose, pasiskirstymas pagal kvalifikacines kategorijas:</w:t>
      </w:r>
    </w:p>
    <w:p w:rsidR="00F041FA" w:rsidRPr="00125EBD" w:rsidRDefault="00F041FA" w:rsidP="00F041FA">
      <w:pPr>
        <w:tabs>
          <w:tab w:val="left" w:pos="0"/>
        </w:tabs>
        <w:suppressAutoHyphens/>
        <w:spacing w:after="0" w:line="360" w:lineRule="auto"/>
        <w:ind w:firstLine="709"/>
        <w:jc w:val="center"/>
        <w:rPr>
          <w:rFonts w:ascii="Times New Roman" w:eastAsia="Times New Roman" w:hAnsi="Times New Roman" w:cs="Times New Roman"/>
          <w:color w:val="FF0000"/>
          <w:sz w:val="24"/>
          <w:szCs w:val="24"/>
          <w:lang w:eastAsia="ar-SA"/>
        </w:rPr>
      </w:pPr>
      <w:r w:rsidRPr="00125EBD">
        <w:rPr>
          <w:rFonts w:ascii="Times New Roman" w:eastAsia="Times New Roman" w:hAnsi="Times New Roman" w:cs="Times New Roman"/>
          <w:noProof/>
          <w:color w:val="FF0000"/>
          <w:sz w:val="24"/>
          <w:szCs w:val="24"/>
          <w:lang w:eastAsia="lt-LT"/>
        </w:rPr>
        <w:lastRenderedPageBreak/>
        <w:drawing>
          <wp:inline distT="0" distB="0" distL="0" distR="0">
            <wp:extent cx="5543550" cy="2533650"/>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1FA" w:rsidRDefault="00F041FA"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B1872" w:rsidRDefault="005B1872" w:rsidP="00F041FA">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ab/>
      </w:r>
      <w:r w:rsidRPr="00DB4AA3">
        <w:rPr>
          <w:rFonts w:ascii="Times New Roman" w:eastAsia="Times New Roman" w:hAnsi="Times New Roman" w:cs="Times New Roman"/>
          <w:sz w:val="24"/>
          <w:szCs w:val="24"/>
          <w:lang w:eastAsia="ar-SA"/>
        </w:rPr>
        <w:t>Kaišiadorių rajono savivaldybėje, siekiant sureguliuoti vienam mokytojui tenkantį mokinių skaičių</w:t>
      </w:r>
      <w:r w:rsidR="00DB4AA3">
        <w:rPr>
          <w:rFonts w:ascii="Times New Roman" w:eastAsia="Times New Roman" w:hAnsi="Times New Roman" w:cs="Times New Roman"/>
          <w:sz w:val="24"/>
          <w:szCs w:val="24"/>
          <w:lang w:eastAsia="ar-SA"/>
        </w:rPr>
        <w:t>, darbo krūvio tol</w:t>
      </w:r>
      <w:r w:rsidR="00DB4AA3" w:rsidRPr="00DB4AA3">
        <w:rPr>
          <w:rFonts w:ascii="Times New Roman" w:eastAsia="Times New Roman" w:hAnsi="Times New Roman" w:cs="Times New Roman"/>
          <w:sz w:val="24"/>
          <w:szCs w:val="24"/>
          <w:lang w:eastAsia="ar-SA"/>
        </w:rPr>
        <w:t>ygumą,</w:t>
      </w:r>
      <w:r w:rsidRPr="00DB4AA3">
        <w:rPr>
          <w:rFonts w:ascii="Times New Roman" w:eastAsia="Times New Roman" w:hAnsi="Times New Roman" w:cs="Times New Roman"/>
          <w:sz w:val="24"/>
          <w:szCs w:val="24"/>
          <w:lang w:eastAsia="ar-SA"/>
        </w:rPr>
        <w:t xml:space="preserve"> jau keletą metų vykdomas susitarimas – mokytojams, kur</w:t>
      </w:r>
      <w:r w:rsidR="00DB4AA3" w:rsidRPr="00DB4AA3">
        <w:rPr>
          <w:rFonts w:ascii="Times New Roman" w:eastAsia="Times New Roman" w:hAnsi="Times New Roman" w:cs="Times New Roman"/>
          <w:sz w:val="24"/>
          <w:szCs w:val="24"/>
          <w:lang w:eastAsia="ar-SA"/>
        </w:rPr>
        <w:t>ie išeina į pensiją yra išmokamo</w:t>
      </w:r>
      <w:r w:rsidRPr="00DB4AA3">
        <w:rPr>
          <w:rFonts w:ascii="Times New Roman" w:eastAsia="Times New Roman" w:hAnsi="Times New Roman" w:cs="Times New Roman"/>
          <w:sz w:val="24"/>
          <w:szCs w:val="24"/>
          <w:lang w:eastAsia="ar-SA"/>
        </w:rPr>
        <w:t>s išeitinės išmokos</w:t>
      </w:r>
      <w:r w:rsidR="00DB4AA3" w:rsidRPr="00DB4AA3">
        <w:rPr>
          <w:rFonts w:ascii="Times New Roman" w:eastAsia="Times New Roman" w:hAnsi="Times New Roman" w:cs="Times New Roman"/>
          <w:sz w:val="24"/>
          <w:szCs w:val="24"/>
          <w:lang w:eastAsia="ar-SA"/>
        </w:rPr>
        <w:t>.</w:t>
      </w:r>
      <w:r w:rsidR="00831677">
        <w:rPr>
          <w:rFonts w:ascii="Times New Roman" w:eastAsia="Times New Roman" w:hAnsi="Times New Roman" w:cs="Times New Roman"/>
          <w:sz w:val="24"/>
          <w:szCs w:val="24"/>
          <w:lang w:eastAsia="ar-SA"/>
        </w:rPr>
        <w:t xml:space="preserve"> </w:t>
      </w:r>
      <w:r w:rsidR="00DB4AA3" w:rsidRPr="00DB4AA3">
        <w:rPr>
          <w:rFonts w:ascii="Times New Roman" w:eastAsia="Times New Roman" w:hAnsi="Times New Roman" w:cs="Times New Roman"/>
          <w:sz w:val="24"/>
          <w:szCs w:val="24"/>
          <w:lang w:eastAsia="ar-SA"/>
        </w:rPr>
        <w:t xml:space="preserve">Mokytojų </w:t>
      </w:r>
      <w:r w:rsidR="005D3397">
        <w:rPr>
          <w:rFonts w:ascii="Times New Roman" w:eastAsia="Times New Roman" w:hAnsi="Times New Roman" w:cs="Times New Roman"/>
          <w:sz w:val="24"/>
          <w:szCs w:val="24"/>
          <w:lang w:eastAsia="ar-SA"/>
        </w:rPr>
        <w:t xml:space="preserve">skaičiaus </w:t>
      </w:r>
      <w:r w:rsidR="00DB4AA3" w:rsidRPr="00DB4AA3">
        <w:rPr>
          <w:rFonts w:ascii="Times New Roman" w:eastAsia="Times New Roman" w:hAnsi="Times New Roman" w:cs="Times New Roman"/>
          <w:sz w:val="24"/>
          <w:szCs w:val="24"/>
          <w:lang w:eastAsia="ar-SA"/>
        </w:rPr>
        <w:t>kaita:</w:t>
      </w: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p>
    <w:p w:rsidR="00DB4AA3" w:rsidRPr="00DB4AA3" w:rsidRDefault="00DB4AA3" w:rsidP="00F041FA">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noProof/>
          <w:sz w:val="24"/>
          <w:szCs w:val="24"/>
          <w:lang w:eastAsia="lt-LT"/>
        </w:rPr>
        <w:drawing>
          <wp:inline distT="0" distB="0" distL="0" distR="0">
            <wp:extent cx="5486400" cy="22479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1872" w:rsidRDefault="005B1872"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D82CFC" w:rsidRPr="00125EBD" w:rsidRDefault="00D82CFC" w:rsidP="00F041FA">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F041FA" w:rsidRDefault="00660B0C" w:rsidP="00660B0C">
      <w:pPr>
        <w:pStyle w:val="Default"/>
        <w:numPr>
          <w:ilvl w:val="0"/>
          <w:numId w:val="3"/>
        </w:numPr>
        <w:spacing w:line="360" w:lineRule="auto"/>
        <w:jc w:val="both"/>
      </w:pPr>
      <w:r>
        <w:lastRenderedPageBreak/>
        <w:t>MOKYMOSI PASIEKIMAI</w:t>
      </w:r>
    </w:p>
    <w:p w:rsidR="006316CB" w:rsidRDefault="002037E8" w:rsidP="0086751D">
      <w:pPr>
        <w:pStyle w:val="Default"/>
        <w:spacing w:line="360" w:lineRule="auto"/>
        <w:ind w:firstLine="927"/>
        <w:jc w:val="both"/>
      </w:pPr>
      <w:r>
        <w:t>Kiekvienais metais atliekama Kaišiadorių rajono savivaldybės stebėsena. Svarbus rodiklis yra išsilavinimą įgijusių mokinių skaičiaus kaita pagal ugdymo programas.</w:t>
      </w:r>
    </w:p>
    <w:p w:rsidR="006316CB" w:rsidRDefault="006316CB" w:rsidP="0086751D">
      <w:pPr>
        <w:pStyle w:val="Default"/>
        <w:spacing w:line="360" w:lineRule="auto"/>
        <w:jc w:val="both"/>
      </w:pPr>
      <w:r>
        <w:rPr>
          <w:noProof/>
          <w:lang w:eastAsia="lt-LT"/>
        </w:rPr>
        <w:drawing>
          <wp:inline distT="0" distB="0" distL="0" distR="0">
            <wp:extent cx="6096000" cy="32004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B0C" w:rsidRDefault="0086751D" w:rsidP="0086751D">
      <w:pPr>
        <w:pStyle w:val="Default"/>
        <w:spacing w:line="360" w:lineRule="auto"/>
        <w:ind w:firstLine="927"/>
        <w:jc w:val="both"/>
      </w:pPr>
      <w:r>
        <w:t>Duomenys rodo, kad visų ugdymo programų situacija pagal išsilavinimo įgijimo procentą savivaldybėje yra blogesnė negu šalyje, išskyrus 2017 m. pradinio ugdymo išsilavinimą įgijusių, nes savivaldybėje 2,7 procentine dalimi pradinio ugdymo išsilavinimą įgijusių mokinių yra daugiau negu šalyje. Žemą procentą lemia pagal suaugusiųjų pagrindinio ir vidurinio ugdymo programas Kaišiadorių suaugusiųjų ir jaunimo mokyklos Pravieniškių skyriuose besimokančiųjų mokinių rezultatai, jų nuolatinė kaita, atsakomybės už s</w:t>
      </w:r>
      <w:r w:rsidR="00956DDD">
        <w:t>avo mokymąsi ir rezultatus trūkumas</w:t>
      </w:r>
      <w:r>
        <w:t>.</w:t>
      </w:r>
    </w:p>
    <w:p w:rsidR="00956DDD" w:rsidRDefault="00956DDD" w:rsidP="0086751D">
      <w:pPr>
        <w:pStyle w:val="Default"/>
        <w:spacing w:line="360" w:lineRule="auto"/>
        <w:ind w:firstLine="927"/>
        <w:jc w:val="both"/>
      </w:pPr>
    </w:p>
    <w:p w:rsidR="00956DDD" w:rsidRDefault="00956DDD" w:rsidP="00956DDD">
      <w:pPr>
        <w:pStyle w:val="Default"/>
        <w:numPr>
          <w:ilvl w:val="1"/>
          <w:numId w:val="3"/>
        </w:numPr>
        <w:spacing w:line="360" w:lineRule="auto"/>
        <w:jc w:val="both"/>
      </w:pPr>
      <w:r>
        <w:t xml:space="preserve"> NACIONALINIO MOKINIŲ PASIEKIMŲ PATIKRINIMO REZULTATAI</w:t>
      </w:r>
    </w:p>
    <w:p w:rsidR="002D56DA" w:rsidRDefault="00B0550E" w:rsidP="003A5D09">
      <w:pPr>
        <w:pStyle w:val="Default"/>
        <w:spacing w:line="360" w:lineRule="auto"/>
        <w:ind w:firstLine="851"/>
        <w:jc w:val="both"/>
      </w:pPr>
      <w:r>
        <w:t xml:space="preserve">Kaišiadorių rajono savivaldybės dalyvauja </w:t>
      </w:r>
      <w:r w:rsidR="003A5D09">
        <w:t xml:space="preserve">Nacionaliniame mokinių pasiekimų patikrinime nuo 2015 m. </w:t>
      </w:r>
    </w:p>
    <w:p w:rsidR="003A5D09" w:rsidRDefault="003A5D09" w:rsidP="00F404DD">
      <w:pPr>
        <w:pStyle w:val="Default"/>
        <w:spacing w:line="360" w:lineRule="auto"/>
        <w:ind w:firstLine="851"/>
        <w:jc w:val="both"/>
        <w:rPr>
          <w:rFonts w:eastAsia="Times New Roman"/>
        </w:rPr>
      </w:pPr>
      <w:r>
        <w:t xml:space="preserve">Nuo 2015 m. Kaišiadorių rajono savivaldybės prioritetas – </w:t>
      </w:r>
      <w:r>
        <w:rPr>
          <w:rFonts w:eastAsia="Times New Roman"/>
        </w:rPr>
        <w:t>p</w:t>
      </w:r>
      <w:r w:rsidRPr="00F61981">
        <w:rPr>
          <w:rFonts w:eastAsia="Times New Roman"/>
        </w:rPr>
        <w:t>agalbos mokiniui tobulinimas, atsižvelgiant į jo individualius gebėjimus ir poreikius. Kiekvieno mokinio ind</w:t>
      </w:r>
      <w:r>
        <w:rPr>
          <w:rFonts w:eastAsia="Times New Roman"/>
        </w:rPr>
        <w:t>ividualios pažangos stebėjimas</w:t>
      </w:r>
      <w:r w:rsidR="002D56DA">
        <w:rPr>
          <w:rFonts w:eastAsia="Times New Roman"/>
        </w:rPr>
        <w:t xml:space="preserve">. </w:t>
      </w:r>
      <w:r w:rsidRPr="003A5D09">
        <w:rPr>
          <w:rFonts w:eastAsia="Times New Roman"/>
          <w:color w:val="auto"/>
        </w:rPr>
        <w:t>2015 m. rugpjūčio mėnesį buvo aptarti standartizuotų testų rezultatai vadovų pasitarime, organizuoti mokymai mokyklų vadovams, po to mokytojams, kaip analizuoti standart</w:t>
      </w:r>
      <w:r>
        <w:rPr>
          <w:rFonts w:eastAsia="Times New Roman"/>
          <w:color w:val="auto"/>
        </w:rPr>
        <w:t>izuotų testų rezultatus. Spalio–</w:t>
      </w:r>
      <w:r w:rsidRPr="003A5D09">
        <w:rPr>
          <w:rFonts w:eastAsia="Times New Roman"/>
          <w:color w:val="auto"/>
        </w:rPr>
        <w:t>gruodžio mėn. vykome į mokyklas ir analizavome, kaip joms sekėsi panaudoti standartizuotų testų rezultatus ir kokie mokyklose priimami susitarimai dėl mokinio pažangos stebėjimo. Vienos mokyklos standartizuotų testų rezultatai buvo prasčiausi savivaldybėje, todėl vizito metu buvo aptartas mokinių pasiekimų gerinimo planas su šia mokykla</w:t>
      </w:r>
      <w:r>
        <w:rPr>
          <w:rFonts w:eastAsia="Times New Roman"/>
          <w:color w:val="auto"/>
        </w:rPr>
        <w:t>.</w:t>
      </w:r>
      <w:r w:rsidR="00831677">
        <w:rPr>
          <w:rFonts w:eastAsia="Times New Roman"/>
          <w:color w:val="auto"/>
        </w:rPr>
        <w:t xml:space="preserve"> </w:t>
      </w:r>
      <w:r w:rsidR="002D56DA">
        <w:rPr>
          <w:rFonts w:eastAsia="Times New Roman"/>
        </w:rPr>
        <w:t xml:space="preserve">Kiekvienais metais analizuojame nacionalinio mokinių pasiekimų </w:t>
      </w:r>
      <w:r w:rsidR="002D56DA">
        <w:rPr>
          <w:rFonts w:eastAsia="Times New Roman"/>
        </w:rPr>
        <w:lastRenderedPageBreak/>
        <w:t xml:space="preserve">patikrinimo rezultatus. Šiais metais galėjome palyginti tų </w:t>
      </w:r>
      <w:r w:rsidR="00F404DD">
        <w:rPr>
          <w:rFonts w:eastAsia="Times New Roman"/>
        </w:rPr>
        <w:t xml:space="preserve">pačių mokinių rezultatų pokytį: </w:t>
      </w:r>
      <w:r w:rsidR="002D56DA">
        <w:rPr>
          <w:rFonts w:eastAsia="Times New Roman"/>
        </w:rPr>
        <w:t>2015 m.</w:t>
      </w:r>
      <w:r w:rsidR="00D82CFC">
        <w:rPr>
          <w:rFonts w:eastAsia="Times New Roman"/>
        </w:rPr>
        <w:t xml:space="preserve"> –</w:t>
      </w:r>
      <w:r w:rsidR="002D56DA">
        <w:rPr>
          <w:rFonts w:eastAsia="Times New Roman"/>
        </w:rPr>
        <w:t xml:space="preserve"> 4 kl. ir 2017 m.</w:t>
      </w:r>
      <w:r w:rsidR="00D82CFC">
        <w:rPr>
          <w:rFonts w:eastAsia="Times New Roman"/>
        </w:rPr>
        <w:t xml:space="preserve"> –</w:t>
      </w:r>
      <w:r w:rsidR="002D56DA">
        <w:rPr>
          <w:rFonts w:eastAsia="Times New Roman"/>
        </w:rPr>
        <w:t xml:space="preserve"> 6 kl.</w:t>
      </w:r>
    </w:p>
    <w:p w:rsidR="00E44D23" w:rsidRDefault="0037121A" w:rsidP="003A5D09">
      <w:pPr>
        <w:pStyle w:val="Default"/>
        <w:spacing w:line="360" w:lineRule="auto"/>
        <w:ind w:firstLine="851"/>
        <w:jc w:val="both"/>
        <w:rPr>
          <w:rFonts w:eastAsia="Times New Roman"/>
        </w:rPr>
      </w:pPr>
      <w:r>
        <w:rPr>
          <w:rFonts w:eastAsia="Times New Roman"/>
        </w:rPr>
        <w:t xml:space="preserve">Kaišiadorių rajono savivaldybės 2016–2017 m. </w:t>
      </w:r>
      <w:r w:rsidR="00E44D23">
        <w:rPr>
          <w:rFonts w:eastAsia="Times New Roman"/>
        </w:rPr>
        <w:t>2 klasės mokinių testų rezultatų analizė rod</w:t>
      </w:r>
      <w:r>
        <w:rPr>
          <w:rFonts w:eastAsia="Times New Roman"/>
        </w:rPr>
        <w:t>o, kad testuotų mokomųjų dalykų rezultatai yra blogesni nei dalyvavusių savivaldybių. 2017 m. stebimas mažesnis</w:t>
      </w:r>
      <w:r w:rsidR="00F404DD">
        <w:rPr>
          <w:rFonts w:eastAsia="Times New Roman"/>
        </w:rPr>
        <w:t xml:space="preserve"> atsilikimo skirtumas.</w:t>
      </w:r>
    </w:p>
    <w:tbl>
      <w:tblPr>
        <w:tblStyle w:val="Lentelstinklelis"/>
        <w:tblW w:w="0" w:type="auto"/>
        <w:tblLook w:val="04A0" w:firstRow="1" w:lastRow="0" w:firstColumn="1" w:lastColumn="0" w:noHBand="0" w:noVBand="1"/>
      </w:tblPr>
      <w:tblGrid>
        <w:gridCol w:w="1925"/>
        <w:gridCol w:w="1925"/>
        <w:gridCol w:w="1926"/>
        <w:gridCol w:w="1926"/>
        <w:gridCol w:w="1926"/>
      </w:tblGrid>
      <w:tr w:rsidR="00E44D23" w:rsidTr="008B1BBE">
        <w:tc>
          <w:tcPr>
            <w:tcW w:w="1925" w:type="dxa"/>
          </w:tcPr>
          <w:p w:rsidR="00E44D23" w:rsidRDefault="00E44D23" w:rsidP="008B1BBE">
            <w:pPr>
              <w:pStyle w:val="Default"/>
              <w:jc w:val="both"/>
            </w:pPr>
            <w:r>
              <w:t>2 klasė</w:t>
            </w:r>
          </w:p>
        </w:tc>
        <w:tc>
          <w:tcPr>
            <w:tcW w:w="1925" w:type="dxa"/>
          </w:tcPr>
          <w:p w:rsidR="00E44D23" w:rsidRDefault="00E44D23" w:rsidP="008B1BBE">
            <w:pPr>
              <w:pStyle w:val="Default"/>
              <w:jc w:val="both"/>
            </w:pPr>
            <w:r>
              <w:t>matematika</w:t>
            </w:r>
          </w:p>
        </w:tc>
        <w:tc>
          <w:tcPr>
            <w:tcW w:w="1926" w:type="dxa"/>
          </w:tcPr>
          <w:p w:rsidR="00E44D23" w:rsidRDefault="00E44D23" w:rsidP="008B1BBE">
            <w:pPr>
              <w:pStyle w:val="Default"/>
              <w:jc w:val="both"/>
            </w:pPr>
            <w:r>
              <w:t>skaitymas</w:t>
            </w:r>
          </w:p>
        </w:tc>
        <w:tc>
          <w:tcPr>
            <w:tcW w:w="1926" w:type="dxa"/>
          </w:tcPr>
          <w:p w:rsidR="00E44D23" w:rsidRDefault="00E44D23" w:rsidP="008B1BBE">
            <w:pPr>
              <w:pStyle w:val="Default"/>
              <w:jc w:val="both"/>
            </w:pPr>
            <w:r>
              <w:t>rašymas</w:t>
            </w:r>
          </w:p>
        </w:tc>
        <w:tc>
          <w:tcPr>
            <w:tcW w:w="1926" w:type="dxa"/>
          </w:tcPr>
          <w:p w:rsidR="00E44D23" w:rsidRDefault="00E44D23" w:rsidP="008B1BBE">
            <w:pPr>
              <w:pStyle w:val="Default"/>
              <w:jc w:val="both"/>
            </w:pPr>
            <w:r>
              <w:t>Pasaulio pažinimas</w:t>
            </w:r>
          </w:p>
        </w:tc>
      </w:tr>
      <w:tr w:rsidR="00E44D23" w:rsidTr="008B1BBE">
        <w:tc>
          <w:tcPr>
            <w:tcW w:w="1925" w:type="dxa"/>
          </w:tcPr>
          <w:p w:rsidR="00E44D23" w:rsidRDefault="00E44D23" w:rsidP="008B1BBE">
            <w:pPr>
              <w:pStyle w:val="Default"/>
              <w:jc w:val="both"/>
            </w:pPr>
            <w:r>
              <w:t>2016 m.</w:t>
            </w:r>
          </w:p>
        </w:tc>
        <w:tc>
          <w:tcPr>
            <w:tcW w:w="1925" w:type="dxa"/>
          </w:tcPr>
          <w:p w:rsidR="00E44D23" w:rsidRDefault="0037121A" w:rsidP="008B1BBE">
            <w:pPr>
              <w:pStyle w:val="Default"/>
              <w:jc w:val="both"/>
            </w:pPr>
            <w:r>
              <w:t>-1,1</w:t>
            </w:r>
          </w:p>
        </w:tc>
        <w:tc>
          <w:tcPr>
            <w:tcW w:w="1926" w:type="dxa"/>
          </w:tcPr>
          <w:p w:rsidR="00E44D23" w:rsidRDefault="0037121A" w:rsidP="008B1BBE">
            <w:pPr>
              <w:pStyle w:val="Default"/>
              <w:jc w:val="both"/>
            </w:pPr>
            <w:r>
              <w:t>-4,8</w:t>
            </w:r>
          </w:p>
        </w:tc>
        <w:tc>
          <w:tcPr>
            <w:tcW w:w="1926" w:type="dxa"/>
          </w:tcPr>
          <w:p w:rsidR="00E44D23" w:rsidRDefault="0037121A" w:rsidP="008B1BBE">
            <w:pPr>
              <w:pStyle w:val="Default"/>
              <w:jc w:val="both"/>
            </w:pPr>
            <w:r>
              <w:t>-4,6</w:t>
            </w:r>
          </w:p>
        </w:tc>
        <w:tc>
          <w:tcPr>
            <w:tcW w:w="1926" w:type="dxa"/>
          </w:tcPr>
          <w:p w:rsidR="00E44D23" w:rsidRDefault="0037121A" w:rsidP="008B1BBE">
            <w:pPr>
              <w:pStyle w:val="Default"/>
              <w:jc w:val="both"/>
            </w:pPr>
            <w:r>
              <w:t>-1,6</w:t>
            </w:r>
          </w:p>
        </w:tc>
      </w:tr>
      <w:tr w:rsidR="00E44D23" w:rsidTr="008B1BBE">
        <w:tc>
          <w:tcPr>
            <w:tcW w:w="1925" w:type="dxa"/>
          </w:tcPr>
          <w:p w:rsidR="00E44D23" w:rsidRDefault="00E44D23" w:rsidP="008B1BBE">
            <w:pPr>
              <w:pStyle w:val="Default"/>
              <w:jc w:val="both"/>
            </w:pPr>
            <w:r>
              <w:t>2017 m.</w:t>
            </w:r>
          </w:p>
        </w:tc>
        <w:tc>
          <w:tcPr>
            <w:tcW w:w="1925" w:type="dxa"/>
          </w:tcPr>
          <w:p w:rsidR="00E44D23" w:rsidRDefault="0037121A" w:rsidP="008B1BBE">
            <w:pPr>
              <w:pStyle w:val="Default"/>
              <w:jc w:val="both"/>
            </w:pPr>
            <w:r>
              <w:t>-2,5</w:t>
            </w:r>
          </w:p>
        </w:tc>
        <w:tc>
          <w:tcPr>
            <w:tcW w:w="1926" w:type="dxa"/>
          </w:tcPr>
          <w:p w:rsidR="00E44D23" w:rsidRDefault="0037121A" w:rsidP="008B1BBE">
            <w:pPr>
              <w:pStyle w:val="Default"/>
              <w:jc w:val="both"/>
            </w:pPr>
            <w:r>
              <w:t>-2,2</w:t>
            </w:r>
          </w:p>
        </w:tc>
        <w:tc>
          <w:tcPr>
            <w:tcW w:w="1926" w:type="dxa"/>
          </w:tcPr>
          <w:p w:rsidR="00E44D23" w:rsidRDefault="0037121A" w:rsidP="008B1BBE">
            <w:pPr>
              <w:pStyle w:val="Default"/>
              <w:jc w:val="both"/>
            </w:pPr>
            <w:r>
              <w:t>-1,6</w:t>
            </w:r>
          </w:p>
        </w:tc>
        <w:tc>
          <w:tcPr>
            <w:tcW w:w="1926" w:type="dxa"/>
          </w:tcPr>
          <w:p w:rsidR="00E44D23" w:rsidRDefault="0037121A" w:rsidP="008B1BBE">
            <w:pPr>
              <w:pStyle w:val="Default"/>
              <w:jc w:val="both"/>
            </w:pPr>
            <w:r>
              <w:t>-2,9</w:t>
            </w:r>
          </w:p>
        </w:tc>
      </w:tr>
    </w:tbl>
    <w:p w:rsidR="00E44D23" w:rsidRDefault="00E44D23" w:rsidP="00F404DD">
      <w:pPr>
        <w:pStyle w:val="Default"/>
        <w:spacing w:line="360" w:lineRule="auto"/>
        <w:jc w:val="both"/>
        <w:rPr>
          <w:rFonts w:eastAsia="Times New Roman"/>
        </w:rPr>
      </w:pPr>
    </w:p>
    <w:p w:rsidR="009B2A81" w:rsidRDefault="009B2A81" w:rsidP="00F404DD">
      <w:pPr>
        <w:pStyle w:val="Default"/>
        <w:spacing w:line="360" w:lineRule="auto"/>
        <w:ind w:firstLine="851"/>
        <w:jc w:val="both"/>
        <w:rPr>
          <w:rFonts w:eastAsia="Times New Roman"/>
        </w:rPr>
      </w:pPr>
      <w:r>
        <w:rPr>
          <w:rFonts w:eastAsia="Times New Roman"/>
        </w:rPr>
        <w:t>4 klasės mokinių 2015–2017 m. testų rezultatų analizė rodo, kad</w:t>
      </w:r>
      <w:r w:rsidR="00831677">
        <w:rPr>
          <w:rFonts w:eastAsia="Times New Roman"/>
        </w:rPr>
        <w:t xml:space="preserve"> </w:t>
      </w:r>
      <w:r w:rsidR="00E57A1E">
        <w:rPr>
          <w:rFonts w:eastAsia="Times New Roman"/>
        </w:rPr>
        <w:t>savivaldybės</w:t>
      </w:r>
      <w:r w:rsidR="00F404DD">
        <w:rPr>
          <w:rFonts w:eastAsia="Times New Roman"/>
        </w:rPr>
        <w:t xml:space="preserve"> testuotų mokomųjų dalykų rezultatai yra blogesni nei dalyvavusių savivaldybių. 2015 m. stebimas mažiausias atsilikimo skirtumas.</w:t>
      </w:r>
    </w:p>
    <w:tbl>
      <w:tblPr>
        <w:tblStyle w:val="Lentelstinklelis"/>
        <w:tblW w:w="0" w:type="auto"/>
        <w:tblLook w:val="04A0" w:firstRow="1" w:lastRow="0" w:firstColumn="1" w:lastColumn="0" w:noHBand="0" w:noVBand="1"/>
      </w:tblPr>
      <w:tblGrid>
        <w:gridCol w:w="1925"/>
        <w:gridCol w:w="1925"/>
        <w:gridCol w:w="1926"/>
        <w:gridCol w:w="1926"/>
        <w:gridCol w:w="1926"/>
      </w:tblGrid>
      <w:tr w:rsidR="009B2A81" w:rsidTr="009B2A81">
        <w:tc>
          <w:tcPr>
            <w:tcW w:w="1925" w:type="dxa"/>
          </w:tcPr>
          <w:p w:rsidR="009B2A81" w:rsidRDefault="009B2A81" w:rsidP="009B2A81">
            <w:pPr>
              <w:pStyle w:val="Default"/>
              <w:jc w:val="both"/>
            </w:pPr>
            <w:r>
              <w:t>4 klasė</w:t>
            </w:r>
          </w:p>
        </w:tc>
        <w:tc>
          <w:tcPr>
            <w:tcW w:w="1925" w:type="dxa"/>
          </w:tcPr>
          <w:p w:rsidR="009B2A81" w:rsidRDefault="009B2A81" w:rsidP="009B2A81">
            <w:pPr>
              <w:pStyle w:val="Default"/>
              <w:jc w:val="both"/>
            </w:pPr>
            <w:r>
              <w:t>matematika</w:t>
            </w:r>
          </w:p>
        </w:tc>
        <w:tc>
          <w:tcPr>
            <w:tcW w:w="1926" w:type="dxa"/>
          </w:tcPr>
          <w:p w:rsidR="009B2A81" w:rsidRDefault="009B2A81" w:rsidP="009B2A81">
            <w:pPr>
              <w:pStyle w:val="Default"/>
              <w:jc w:val="both"/>
            </w:pPr>
            <w:r>
              <w:t>skaitymas</w:t>
            </w:r>
          </w:p>
        </w:tc>
        <w:tc>
          <w:tcPr>
            <w:tcW w:w="1926" w:type="dxa"/>
          </w:tcPr>
          <w:p w:rsidR="009B2A81" w:rsidRDefault="009B2A81" w:rsidP="009B2A81">
            <w:pPr>
              <w:pStyle w:val="Default"/>
              <w:jc w:val="both"/>
            </w:pPr>
            <w:r>
              <w:t>rašymas</w:t>
            </w:r>
          </w:p>
        </w:tc>
        <w:tc>
          <w:tcPr>
            <w:tcW w:w="1926" w:type="dxa"/>
          </w:tcPr>
          <w:p w:rsidR="009B2A81" w:rsidRDefault="009B2A81" w:rsidP="009B2A81">
            <w:pPr>
              <w:pStyle w:val="Default"/>
              <w:jc w:val="both"/>
            </w:pPr>
            <w:r>
              <w:t>Pasaulio pažinimas</w:t>
            </w:r>
          </w:p>
        </w:tc>
      </w:tr>
      <w:tr w:rsidR="009B2A81" w:rsidTr="009B2A81">
        <w:tc>
          <w:tcPr>
            <w:tcW w:w="1925" w:type="dxa"/>
          </w:tcPr>
          <w:p w:rsidR="009B2A81" w:rsidRDefault="00E44D23" w:rsidP="009B2A81">
            <w:pPr>
              <w:pStyle w:val="Default"/>
              <w:jc w:val="both"/>
            </w:pPr>
            <w:r>
              <w:t>2015 m.</w:t>
            </w:r>
          </w:p>
        </w:tc>
        <w:tc>
          <w:tcPr>
            <w:tcW w:w="1925" w:type="dxa"/>
          </w:tcPr>
          <w:p w:rsidR="009B2A81" w:rsidRDefault="00E44D23" w:rsidP="009B2A81">
            <w:pPr>
              <w:pStyle w:val="Default"/>
              <w:jc w:val="both"/>
            </w:pPr>
            <w:r>
              <w:t>-6,8</w:t>
            </w:r>
          </w:p>
        </w:tc>
        <w:tc>
          <w:tcPr>
            <w:tcW w:w="1926" w:type="dxa"/>
          </w:tcPr>
          <w:p w:rsidR="009B2A81" w:rsidRDefault="00E44D23" w:rsidP="009B2A81">
            <w:pPr>
              <w:pStyle w:val="Default"/>
              <w:jc w:val="both"/>
            </w:pPr>
            <w:r>
              <w:t>-2,7</w:t>
            </w:r>
          </w:p>
        </w:tc>
        <w:tc>
          <w:tcPr>
            <w:tcW w:w="1926" w:type="dxa"/>
          </w:tcPr>
          <w:p w:rsidR="009B2A81" w:rsidRDefault="00E44D23" w:rsidP="009B2A81">
            <w:pPr>
              <w:pStyle w:val="Default"/>
              <w:jc w:val="both"/>
            </w:pPr>
            <w:r>
              <w:t>-0,2</w:t>
            </w:r>
          </w:p>
        </w:tc>
        <w:tc>
          <w:tcPr>
            <w:tcW w:w="1926" w:type="dxa"/>
          </w:tcPr>
          <w:p w:rsidR="009B2A81" w:rsidRDefault="00E44D23" w:rsidP="009B2A81">
            <w:pPr>
              <w:pStyle w:val="Default"/>
              <w:jc w:val="both"/>
            </w:pPr>
            <w:r>
              <w:t>-0,3</w:t>
            </w:r>
          </w:p>
        </w:tc>
      </w:tr>
      <w:tr w:rsidR="00E44D23" w:rsidTr="009B2A81">
        <w:tc>
          <w:tcPr>
            <w:tcW w:w="1925" w:type="dxa"/>
          </w:tcPr>
          <w:p w:rsidR="00E44D23" w:rsidRDefault="00E44D23" w:rsidP="009B2A81">
            <w:pPr>
              <w:pStyle w:val="Default"/>
              <w:jc w:val="both"/>
            </w:pPr>
            <w:r>
              <w:t>2016 m.</w:t>
            </w:r>
          </w:p>
        </w:tc>
        <w:tc>
          <w:tcPr>
            <w:tcW w:w="1925" w:type="dxa"/>
          </w:tcPr>
          <w:p w:rsidR="00E44D23" w:rsidRDefault="0037121A" w:rsidP="009B2A81">
            <w:pPr>
              <w:pStyle w:val="Default"/>
              <w:jc w:val="both"/>
            </w:pPr>
            <w:r>
              <w:t>-7,3</w:t>
            </w:r>
          </w:p>
        </w:tc>
        <w:tc>
          <w:tcPr>
            <w:tcW w:w="1926" w:type="dxa"/>
          </w:tcPr>
          <w:p w:rsidR="00E44D23" w:rsidRDefault="0037121A" w:rsidP="009B2A81">
            <w:pPr>
              <w:pStyle w:val="Default"/>
              <w:jc w:val="both"/>
            </w:pPr>
            <w:r>
              <w:t>-4,9</w:t>
            </w:r>
          </w:p>
        </w:tc>
        <w:tc>
          <w:tcPr>
            <w:tcW w:w="1926" w:type="dxa"/>
          </w:tcPr>
          <w:p w:rsidR="00E44D23" w:rsidRDefault="0037121A" w:rsidP="009B2A81">
            <w:pPr>
              <w:pStyle w:val="Default"/>
              <w:jc w:val="both"/>
            </w:pPr>
            <w:r>
              <w:t>-3,8</w:t>
            </w:r>
          </w:p>
        </w:tc>
        <w:tc>
          <w:tcPr>
            <w:tcW w:w="1926" w:type="dxa"/>
          </w:tcPr>
          <w:p w:rsidR="00E44D23" w:rsidRDefault="0037121A" w:rsidP="009B2A81">
            <w:pPr>
              <w:pStyle w:val="Default"/>
              <w:jc w:val="both"/>
            </w:pPr>
            <w:r>
              <w:t>-5,1</w:t>
            </w:r>
          </w:p>
        </w:tc>
      </w:tr>
      <w:tr w:rsidR="00E44D23" w:rsidTr="009B2A81">
        <w:tc>
          <w:tcPr>
            <w:tcW w:w="1925" w:type="dxa"/>
          </w:tcPr>
          <w:p w:rsidR="00E44D23" w:rsidRDefault="00E44D23" w:rsidP="009B2A81">
            <w:pPr>
              <w:pStyle w:val="Default"/>
              <w:jc w:val="both"/>
            </w:pPr>
            <w:r>
              <w:t>2017 m.</w:t>
            </w:r>
          </w:p>
        </w:tc>
        <w:tc>
          <w:tcPr>
            <w:tcW w:w="1925" w:type="dxa"/>
          </w:tcPr>
          <w:p w:rsidR="00E44D23" w:rsidRDefault="0037121A" w:rsidP="009B2A81">
            <w:pPr>
              <w:pStyle w:val="Default"/>
              <w:jc w:val="both"/>
            </w:pPr>
            <w:r>
              <w:t>-9,6</w:t>
            </w:r>
          </w:p>
        </w:tc>
        <w:tc>
          <w:tcPr>
            <w:tcW w:w="1926" w:type="dxa"/>
          </w:tcPr>
          <w:p w:rsidR="00E44D23" w:rsidRDefault="0037121A" w:rsidP="009B2A81">
            <w:pPr>
              <w:pStyle w:val="Default"/>
              <w:jc w:val="both"/>
            </w:pPr>
            <w:r>
              <w:t>-7,2</w:t>
            </w:r>
          </w:p>
        </w:tc>
        <w:tc>
          <w:tcPr>
            <w:tcW w:w="1926" w:type="dxa"/>
          </w:tcPr>
          <w:p w:rsidR="00E44D23" w:rsidRDefault="0037121A" w:rsidP="009B2A81">
            <w:pPr>
              <w:pStyle w:val="Default"/>
              <w:jc w:val="both"/>
            </w:pPr>
            <w:r>
              <w:t>-2</w:t>
            </w:r>
          </w:p>
        </w:tc>
        <w:tc>
          <w:tcPr>
            <w:tcW w:w="1926" w:type="dxa"/>
          </w:tcPr>
          <w:p w:rsidR="00E44D23" w:rsidRDefault="0037121A" w:rsidP="009B2A81">
            <w:pPr>
              <w:pStyle w:val="Default"/>
              <w:jc w:val="both"/>
            </w:pPr>
            <w:r>
              <w:t>-8,7</w:t>
            </w:r>
          </w:p>
        </w:tc>
      </w:tr>
    </w:tbl>
    <w:p w:rsidR="009B2A81" w:rsidRDefault="009B2A81" w:rsidP="003A5D09">
      <w:pPr>
        <w:pStyle w:val="Default"/>
        <w:spacing w:line="360" w:lineRule="auto"/>
        <w:ind w:firstLine="851"/>
        <w:jc w:val="both"/>
      </w:pPr>
    </w:p>
    <w:p w:rsidR="00F404DD" w:rsidRDefault="00F404DD" w:rsidP="003A5D09">
      <w:pPr>
        <w:pStyle w:val="Default"/>
        <w:spacing w:line="360" w:lineRule="auto"/>
        <w:ind w:firstLine="851"/>
        <w:jc w:val="both"/>
      </w:pPr>
      <w:r>
        <w:t>6 klasės mokinių 2016–2017 m. testų rezultatų analizė rodo, kad 2017 m. (skaitymo, rašymo) rezultatai geresni nei dalyvavusių savivaldybių.</w:t>
      </w:r>
    </w:p>
    <w:tbl>
      <w:tblPr>
        <w:tblStyle w:val="Lentelstinklelis"/>
        <w:tblW w:w="0" w:type="auto"/>
        <w:tblLook w:val="04A0" w:firstRow="1" w:lastRow="0" w:firstColumn="1" w:lastColumn="0" w:noHBand="0" w:noVBand="1"/>
      </w:tblPr>
      <w:tblGrid>
        <w:gridCol w:w="1925"/>
        <w:gridCol w:w="1925"/>
        <w:gridCol w:w="1926"/>
        <w:gridCol w:w="1926"/>
      </w:tblGrid>
      <w:tr w:rsidR="00F404DD" w:rsidTr="008B1BBE">
        <w:tc>
          <w:tcPr>
            <w:tcW w:w="1925" w:type="dxa"/>
          </w:tcPr>
          <w:p w:rsidR="00F404DD" w:rsidRDefault="00F404DD" w:rsidP="008B1BBE">
            <w:pPr>
              <w:pStyle w:val="Default"/>
              <w:jc w:val="both"/>
            </w:pPr>
            <w:r>
              <w:t>6 klasė</w:t>
            </w:r>
          </w:p>
        </w:tc>
        <w:tc>
          <w:tcPr>
            <w:tcW w:w="1925" w:type="dxa"/>
          </w:tcPr>
          <w:p w:rsidR="00F404DD" w:rsidRDefault="00F404DD" w:rsidP="008B1BBE">
            <w:pPr>
              <w:pStyle w:val="Default"/>
              <w:jc w:val="both"/>
            </w:pPr>
            <w:r>
              <w:t>matematika</w:t>
            </w:r>
          </w:p>
        </w:tc>
        <w:tc>
          <w:tcPr>
            <w:tcW w:w="1926" w:type="dxa"/>
          </w:tcPr>
          <w:p w:rsidR="00F404DD" w:rsidRDefault="00F404DD" w:rsidP="008B1BBE">
            <w:pPr>
              <w:pStyle w:val="Default"/>
              <w:jc w:val="both"/>
            </w:pPr>
            <w:r>
              <w:t>skaitymas</w:t>
            </w:r>
          </w:p>
        </w:tc>
        <w:tc>
          <w:tcPr>
            <w:tcW w:w="1926" w:type="dxa"/>
          </w:tcPr>
          <w:p w:rsidR="00F404DD" w:rsidRDefault="00F404DD" w:rsidP="008B1BBE">
            <w:pPr>
              <w:pStyle w:val="Default"/>
              <w:jc w:val="both"/>
            </w:pPr>
            <w:r>
              <w:t>rašymas</w:t>
            </w:r>
          </w:p>
        </w:tc>
      </w:tr>
      <w:tr w:rsidR="00F404DD" w:rsidTr="008B1BBE">
        <w:tc>
          <w:tcPr>
            <w:tcW w:w="1925" w:type="dxa"/>
          </w:tcPr>
          <w:p w:rsidR="00F404DD" w:rsidRDefault="00F404DD" w:rsidP="008B1BBE">
            <w:pPr>
              <w:pStyle w:val="Default"/>
              <w:jc w:val="both"/>
            </w:pPr>
            <w:r>
              <w:t>2016 m.</w:t>
            </w:r>
          </w:p>
        </w:tc>
        <w:tc>
          <w:tcPr>
            <w:tcW w:w="1925" w:type="dxa"/>
          </w:tcPr>
          <w:p w:rsidR="00F404DD" w:rsidRDefault="00F404DD" w:rsidP="008B1BBE">
            <w:pPr>
              <w:pStyle w:val="Default"/>
              <w:jc w:val="both"/>
            </w:pPr>
            <w:r>
              <w:t>-3</w:t>
            </w:r>
          </w:p>
        </w:tc>
        <w:tc>
          <w:tcPr>
            <w:tcW w:w="1926" w:type="dxa"/>
          </w:tcPr>
          <w:p w:rsidR="00F404DD" w:rsidRDefault="00F404DD" w:rsidP="008B1BBE">
            <w:pPr>
              <w:pStyle w:val="Default"/>
              <w:jc w:val="both"/>
            </w:pPr>
            <w:r>
              <w:t>-1,8</w:t>
            </w:r>
          </w:p>
        </w:tc>
        <w:tc>
          <w:tcPr>
            <w:tcW w:w="1926" w:type="dxa"/>
          </w:tcPr>
          <w:p w:rsidR="00F404DD" w:rsidRDefault="00F404DD" w:rsidP="008B1BBE">
            <w:pPr>
              <w:pStyle w:val="Default"/>
              <w:jc w:val="both"/>
            </w:pPr>
            <w:r>
              <w:t>-0,2</w:t>
            </w:r>
          </w:p>
        </w:tc>
      </w:tr>
      <w:tr w:rsidR="00F404DD" w:rsidTr="008B1BBE">
        <w:tc>
          <w:tcPr>
            <w:tcW w:w="1925" w:type="dxa"/>
          </w:tcPr>
          <w:p w:rsidR="00F404DD" w:rsidRDefault="00F404DD" w:rsidP="008B1BBE">
            <w:pPr>
              <w:pStyle w:val="Default"/>
              <w:jc w:val="both"/>
            </w:pPr>
            <w:r>
              <w:t>2017 m.</w:t>
            </w:r>
          </w:p>
        </w:tc>
        <w:tc>
          <w:tcPr>
            <w:tcW w:w="1925" w:type="dxa"/>
          </w:tcPr>
          <w:p w:rsidR="00F404DD" w:rsidRDefault="00F404DD" w:rsidP="008B1BBE">
            <w:pPr>
              <w:pStyle w:val="Default"/>
              <w:jc w:val="both"/>
            </w:pPr>
            <w:r>
              <w:t>-2,3</w:t>
            </w:r>
          </w:p>
        </w:tc>
        <w:tc>
          <w:tcPr>
            <w:tcW w:w="1926" w:type="dxa"/>
          </w:tcPr>
          <w:p w:rsidR="00F404DD" w:rsidRDefault="00F404DD" w:rsidP="008B1BBE">
            <w:pPr>
              <w:pStyle w:val="Default"/>
              <w:jc w:val="both"/>
            </w:pPr>
            <w:r>
              <w:t>+1,5</w:t>
            </w:r>
          </w:p>
        </w:tc>
        <w:tc>
          <w:tcPr>
            <w:tcW w:w="1926" w:type="dxa"/>
          </w:tcPr>
          <w:p w:rsidR="00F404DD" w:rsidRDefault="00F404DD" w:rsidP="008B1BBE">
            <w:pPr>
              <w:pStyle w:val="Default"/>
              <w:jc w:val="both"/>
            </w:pPr>
            <w:r>
              <w:t>+1,5</w:t>
            </w:r>
          </w:p>
        </w:tc>
      </w:tr>
    </w:tbl>
    <w:p w:rsidR="00F404DD" w:rsidRDefault="00F404DD" w:rsidP="00F404DD">
      <w:pPr>
        <w:pStyle w:val="Default"/>
        <w:spacing w:line="360" w:lineRule="auto"/>
        <w:jc w:val="both"/>
        <w:rPr>
          <w:rFonts w:eastAsia="Times New Roman"/>
        </w:rPr>
      </w:pPr>
    </w:p>
    <w:p w:rsidR="00F404DD" w:rsidRDefault="00F404DD" w:rsidP="00F404DD">
      <w:pPr>
        <w:pStyle w:val="Default"/>
        <w:spacing w:line="360" w:lineRule="auto"/>
        <w:ind w:firstLine="1296"/>
        <w:jc w:val="both"/>
        <w:rPr>
          <w:rFonts w:eastAsia="Times New Roman"/>
        </w:rPr>
      </w:pPr>
      <w:r>
        <w:t xml:space="preserve">Palyginus </w:t>
      </w:r>
      <w:r>
        <w:rPr>
          <w:rFonts w:eastAsia="Times New Roman"/>
        </w:rPr>
        <w:t>2015 m. 4 kl. ir 2017 m. 6 kl. tų pačių mokinių rezultatus, kaip ir visose testavime dalyvavusių savivaldybių mokinių rezultatai yra blogesni.</w:t>
      </w:r>
    </w:p>
    <w:p w:rsidR="00CA6506" w:rsidRDefault="00F404DD" w:rsidP="00F404DD">
      <w:pPr>
        <w:pStyle w:val="Default"/>
        <w:spacing w:line="360" w:lineRule="auto"/>
        <w:ind w:firstLine="142"/>
        <w:jc w:val="both"/>
      </w:pPr>
      <w:r>
        <w:rPr>
          <w:noProof/>
          <w:lang w:eastAsia="lt-LT"/>
        </w:rPr>
        <w:drawing>
          <wp:inline distT="0" distB="0" distL="0" distR="0">
            <wp:extent cx="5486400" cy="261937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04DD" w:rsidRDefault="00F404DD" w:rsidP="00CA6506"/>
    <w:p w:rsidR="00CA6506" w:rsidRDefault="00CA6506" w:rsidP="00F30500">
      <w:pPr>
        <w:pStyle w:val="Default"/>
        <w:spacing w:line="360" w:lineRule="auto"/>
        <w:ind w:firstLine="851"/>
        <w:jc w:val="both"/>
      </w:pPr>
      <w:r>
        <w:lastRenderedPageBreak/>
        <w:t>8 klasės mokinių 2015–2017 m. testų rezultatų analizė rodo, kad 2015 m. (skaitymo, rašymo), o 2016 m. socialinių mokslų  rezultatai geresni nei dalyvavusių savivaldybių. Atkreiptinas dėmesys, kad visų trejų metų skaitymo</w:t>
      </w:r>
      <w:r w:rsidR="00F30500">
        <w:t xml:space="preserve"> rezultatai yra geresni nei dalyvavusių savivaldybių.</w:t>
      </w:r>
    </w:p>
    <w:tbl>
      <w:tblPr>
        <w:tblStyle w:val="Lentelstinklelis"/>
        <w:tblW w:w="0" w:type="auto"/>
        <w:tblLook w:val="04A0" w:firstRow="1" w:lastRow="0" w:firstColumn="1" w:lastColumn="0" w:noHBand="0" w:noVBand="1"/>
      </w:tblPr>
      <w:tblGrid>
        <w:gridCol w:w="1543"/>
        <w:gridCol w:w="1740"/>
        <w:gridCol w:w="1690"/>
        <w:gridCol w:w="1636"/>
        <w:gridCol w:w="1391"/>
        <w:gridCol w:w="1628"/>
      </w:tblGrid>
      <w:tr w:rsidR="00CA6506" w:rsidTr="00CA6506">
        <w:tc>
          <w:tcPr>
            <w:tcW w:w="1543" w:type="dxa"/>
          </w:tcPr>
          <w:p w:rsidR="00CA6506" w:rsidRDefault="00CA6506" w:rsidP="008B1BBE">
            <w:pPr>
              <w:pStyle w:val="Default"/>
              <w:jc w:val="both"/>
            </w:pPr>
            <w:r>
              <w:t>8 klasė</w:t>
            </w:r>
          </w:p>
        </w:tc>
        <w:tc>
          <w:tcPr>
            <w:tcW w:w="1740" w:type="dxa"/>
          </w:tcPr>
          <w:p w:rsidR="00CA6506" w:rsidRDefault="00CA6506" w:rsidP="008B1BBE">
            <w:pPr>
              <w:pStyle w:val="Default"/>
              <w:jc w:val="both"/>
            </w:pPr>
            <w:r>
              <w:t>matematika</w:t>
            </w:r>
          </w:p>
        </w:tc>
        <w:tc>
          <w:tcPr>
            <w:tcW w:w="1690" w:type="dxa"/>
          </w:tcPr>
          <w:p w:rsidR="00CA6506" w:rsidRDefault="00CA6506" w:rsidP="008B1BBE">
            <w:pPr>
              <w:pStyle w:val="Default"/>
              <w:jc w:val="both"/>
            </w:pPr>
            <w:r>
              <w:t>skaitymas</w:t>
            </w:r>
          </w:p>
        </w:tc>
        <w:tc>
          <w:tcPr>
            <w:tcW w:w="1636" w:type="dxa"/>
          </w:tcPr>
          <w:p w:rsidR="00CA6506" w:rsidRDefault="00CA6506" w:rsidP="008B1BBE">
            <w:pPr>
              <w:pStyle w:val="Default"/>
              <w:jc w:val="both"/>
            </w:pPr>
            <w:r>
              <w:t>rašymas</w:t>
            </w:r>
          </w:p>
        </w:tc>
        <w:tc>
          <w:tcPr>
            <w:tcW w:w="1391" w:type="dxa"/>
          </w:tcPr>
          <w:p w:rsidR="00CA6506" w:rsidRDefault="00CA6506" w:rsidP="008B1BBE">
            <w:pPr>
              <w:pStyle w:val="Default"/>
              <w:jc w:val="both"/>
            </w:pPr>
            <w:r>
              <w:t>Gamtos m.</w:t>
            </w:r>
          </w:p>
        </w:tc>
        <w:tc>
          <w:tcPr>
            <w:tcW w:w="1628" w:type="dxa"/>
          </w:tcPr>
          <w:p w:rsidR="00CA6506" w:rsidRDefault="00CA6506" w:rsidP="008B1BBE">
            <w:pPr>
              <w:pStyle w:val="Default"/>
              <w:jc w:val="both"/>
            </w:pPr>
            <w:r>
              <w:t>Socialiniai m.</w:t>
            </w:r>
          </w:p>
        </w:tc>
      </w:tr>
      <w:tr w:rsidR="00CA6506" w:rsidTr="00CA6506">
        <w:tc>
          <w:tcPr>
            <w:tcW w:w="1543" w:type="dxa"/>
          </w:tcPr>
          <w:p w:rsidR="00CA6506" w:rsidRDefault="00CA6506" w:rsidP="008B1BBE">
            <w:pPr>
              <w:pStyle w:val="Default"/>
              <w:jc w:val="both"/>
            </w:pPr>
            <w:r>
              <w:t>2015 m.</w:t>
            </w:r>
          </w:p>
        </w:tc>
        <w:tc>
          <w:tcPr>
            <w:tcW w:w="1740" w:type="dxa"/>
          </w:tcPr>
          <w:p w:rsidR="00CA6506" w:rsidRDefault="00CA6506" w:rsidP="008B1BBE">
            <w:pPr>
              <w:pStyle w:val="Default"/>
              <w:jc w:val="both"/>
            </w:pPr>
            <w:r>
              <w:t>-3,8</w:t>
            </w:r>
          </w:p>
        </w:tc>
        <w:tc>
          <w:tcPr>
            <w:tcW w:w="1690" w:type="dxa"/>
          </w:tcPr>
          <w:p w:rsidR="00CA6506" w:rsidRDefault="00CA6506" w:rsidP="008B1BBE">
            <w:pPr>
              <w:pStyle w:val="Default"/>
              <w:jc w:val="both"/>
            </w:pPr>
            <w:r>
              <w:t>+1,3</w:t>
            </w:r>
          </w:p>
        </w:tc>
        <w:tc>
          <w:tcPr>
            <w:tcW w:w="1636" w:type="dxa"/>
          </w:tcPr>
          <w:p w:rsidR="00CA6506" w:rsidRDefault="00CA6506" w:rsidP="008B1BBE">
            <w:pPr>
              <w:pStyle w:val="Default"/>
              <w:jc w:val="both"/>
            </w:pPr>
            <w:r>
              <w:t>+1,6</w:t>
            </w:r>
          </w:p>
        </w:tc>
        <w:tc>
          <w:tcPr>
            <w:tcW w:w="1391" w:type="dxa"/>
          </w:tcPr>
          <w:p w:rsidR="00CA6506" w:rsidRDefault="00CA6506" w:rsidP="008B1BBE">
            <w:pPr>
              <w:pStyle w:val="Default"/>
              <w:jc w:val="both"/>
            </w:pPr>
            <w:r>
              <w:t>-2,1</w:t>
            </w:r>
          </w:p>
        </w:tc>
        <w:tc>
          <w:tcPr>
            <w:tcW w:w="1628" w:type="dxa"/>
          </w:tcPr>
          <w:p w:rsidR="00CA6506" w:rsidRDefault="00CA6506" w:rsidP="008B1BBE">
            <w:pPr>
              <w:pStyle w:val="Default"/>
              <w:jc w:val="both"/>
            </w:pPr>
            <w:r>
              <w:t>-0,3</w:t>
            </w:r>
          </w:p>
        </w:tc>
      </w:tr>
      <w:tr w:rsidR="00CA6506" w:rsidTr="00CA6506">
        <w:tc>
          <w:tcPr>
            <w:tcW w:w="1543" w:type="dxa"/>
          </w:tcPr>
          <w:p w:rsidR="00CA6506" w:rsidRDefault="00CA6506" w:rsidP="008B1BBE">
            <w:pPr>
              <w:pStyle w:val="Default"/>
              <w:jc w:val="both"/>
            </w:pPr>
            <w:r>
              <w:t>2016 m.</w:t>
            </w:r>
          </w:p>
        </w:tc>
        <w:tc>
          <w:tcPr>
            <w:tcW w:w="1740" w:type="dxa"/>
          </w:tcPr>
          <w:p w:rsidR="00CA6506" w:rsidRDefault="00CA6506" w:rsidP="008B1BBE">
            <w:pPr>
              <w:pStyle w:val="Default"/>
              <w:jc w:val="both"/>
            </w:pPr>
            <w:r>
              <w:t>-6,2</w:t>
            </w:r>
          </w:p>
        </w:tc>
        <w:tc>
          <w:tcPr>
            <w:tcW w:w="1690" w:type="dxa"/>
          </w:tcPr>
          <w:p w:rsidR="00CA6506" w:rsidRDefault="00CA6506" w:rsidP="008B1BBE">
            <w:pPr>
              <w:pStyle w:val="Default"/>
              <w:jc w:val="both"/>
            </w:pPr>
            <w:r>
              <w:t>+1,3</w:t>
            </w:r>
          </w:p>
        </w:tc>
        <w:tc>
          <w:tcPr>
            <w:tcW w:w="1636" w:type="dxa"/>
          </w:tcPr>
          <w:p w:rsidR="00CA6506" w:rsidRDefault="00CA6506" w:rsidP="008B1BBE">
            <w:pPr>
              <w:pStyle w:val="Default"/>
              <w:jc w:val="both"/>
            </w:pPr>
            <w:r>
              <w:t>-1,4</w:t>
            </w:r>
          </w:p>
        </w:tc>
        <w:tc>
          <w:tcPr>
            <w:tcW w:w="1391" w:type="dxa"/>
          </w:tcPr>
          <w:p w:rsidR="00CA6506" w:rsidRDefault="00CA6506" w:rsidP="008B1BBE">
            <w:pPr>
              <w:pStyle w:val="Default"/>
              <w:jc w:val="both"/>
            </w:pPr>
            <w:r>
              <w:t>-0,8</w:t>
            </w:r>
          </w:p>
        </w:tc>
        <w:tc>
          <w:tcPr>
            <w:tcW w:w="1628" w:type="dxa"/>
          </w:tcPr>
          <w:p w:rsidR="00CA6506" w:rsidRDefault="00CA6506" w:rsidP="008B1BBE">
            <w:pPr>
              <w:pStyle w:val="Default"/>
              <w:jc w:val="both"/>
            </w:pPr>
            <w:r>
              <w:t>+3,6</w:t>
            </w:r>
          </w:p>
        </w:tc>
      </w:tr>
      <w:tr w:rsidR="00CA6506" w:rsidTr="00CA6506">
        <w:tc>
          <w:tcPr>
            <w:tcW w:w="1543" w:type="dxa"/>
          </w:tcPr>
          <w:p w:rsidR="00CA6506" w:rsidRDefault="00CA6506" w:rsidP="008B1BBE">
            <w:pPr>
              <w:pStyle w:val="Default"/>
              <w:jc w:val="both"/>
            </w:pPr>
            <w:r>
              <w:t>2017 m.</w:t>
            </w:r>
          </w:p>
        </w:tc>
        <w:tc>
          <w:tcPr>
            <w:tcW w:w="1740" w:type="dxa"/>
          </w:tcPr>
          <w:p w:rsidR="00CA6506" w:rsidRDefault="00CA6506" w:rsidP="008B1BBE">
            <w:pPr>
              <w:pStyle w:val="Default"/>
              <w:jc w:val="both"/>
            </w:pPr>
            <w:r>
              <w:t>-2</w:t>
            </w:r>
          </w:p>
        </w:tc>
        <w:tc>
          <w:tcPr>
            <w:tcW w:w="1690" w:type="dxa"/>
          </w:tcPr>
          <w:p w:rsidR="00CA6506" w:rsidRDefault="00CA6506" w:rsidP="008B1BBE">
            <w:pPr>
              <w:pStyle w:val="Default"/>
              <w:jc w:val="both"/>
            </w:pPr>
            <w:r>
              <w:t>+0,3</w:t>
            </w:r>
          </w:p>
        </w:tc>
        <w:tc>
          <w:tcPr>
            <w:tcW w:w="1636" w:type="dxa"/>
          </w:tcPr>
          <w:p w:rsidR="00CA6506" w:rsidRDefault="00CA6506" w:rsidP="008B1BBE">
            <w:pPr>
              <w:pStyle w:val="Default"/>
              <w:jc w:val="both"/>
            </w:pPr>
            <w:r>
              <w:t>-1,1</w:t>
            </w:r>
          </w:p>
        </w:tc>
        <w:tc>
          <w:tcPr>
            <w:tcW w:w="1391" w:type="dxa"/>
          </w:tcPr>
          <w:p w:rsidR="00CA6506" w:rsidRDefault="00CA6506" w:rsidP="008B1BBE">
            <w:pPr>
              <w:pStyle w:val="Default"/>
              <w:jc w:val="both"/>
            </w:pPr>
            <w:r>
              <w:t>-9,2</w:t>
            </w:r>
          </w:p>
        </w:tc>
        <w:tc>
          <w:tcPr>
            <w:tcW w:w="1628" w:type="dxa"/>
          </w:tcPr>
          <w:p w:rsidR="00CA6506" w:rsidRDefault="00CA6506" w:rsidP="008B1BBE">
            <w:pPr>
              <w:pStyle w:val="Default"/>
              <w:jc w:val="both"/>
            </w:pPr>
            <w:r>
              <w:t>-1,1</w:t>
            </w:r>
          </w:p>
        </w:tc>
      </w:tr>
    </w:tbl>
    <w:p w:rsidR="00F30500" w:rsidRDefault="00F30500" w:rsidP="00CA6506">
      <w:pPr>
        <w:pStyle w:val="Default"/>
        <w:spacing w:line="360" w:lineRule="auto"/>
        <w:ind w:firstLine="851"/>
        <w:jc w:val="both"/>
      </w:pPr>
    </w:p>
    <w:p w:rsidR="002F228E" w:rsidRDefault="00F30500" w:rsidP="00CA6506">
      <w:pPr>
        <w:pStyle w:val="Default"/>
        <w:spacing w:line="360" w:lineRule="auto"/>
        <w:ind w:firstLine="851"/>
        <w:jc w:val="both"/>
      </w:pPr>
      <w:r>
        <w:t>Svarbu paminėti ir tai, kad peržiūrėjus trejų metų visų testavime dalyvavusių savivaldybių 8 klasės mokinių rezulta</w:t>
      </w:r>
      <w:r w:rsidR="00E57A1E">
        <w:t>tus</w:t>
      </w:r>
      <w:r>
        <w:t xml:space="preserve"> nestebima blogėjimo tendenci</w:t>
      </w:r>
      <w:r w:rsidR="00E57A1E">
        <w:t>ja, jie</w:t>
      </w:r>
      <w:r w:rsidR="00831677">
        <w:t xml:space="preserve"> </w:t>
      </w:r>
      <w:r w:rsidR="00E57A1E">
        <w:t>išlieka stabilūs.</w:t>
      </w:r>
    </w:p>
    <w:p w:rsidR="00CA6506" w:rsidRDefault="00F30500" w:rsidP="00CA6506">
      <w:pPr>
        <w:pStyle w:val="Default"/>
        <w:spacing w:line="360" w:lineRule="auto"/>
        <w:ind w:firstLine="851"/>
        <w:jc w:val="both"/>
      </w:pPr>
      <w:r>
        <w:t xml:space="preserve"> Apibendrinus rezultatus, darytina išvada, kad blogiausia situacija pradinio ugdymo programoje yra su matematikos mokymu bei stebima pasaulio pažinimo ir skaitymo rezultatų blogėjimo tendencija.</w:t>
      </w:r>
      <w:r w:rsidR="002F228E">
        <w:t xml:space="preserve"> Pagrindinio ugdymo programoje taip pat reikia didesnį dėmesį skirti matematikos ir gamtos mokslų dalykų mokymui.</w:t>
      </w:r>
    </w:p>
    <w:p w:rsidR="002F228E" w:rsidRDefault="002F228E" w:rsidP="002F228E">
      <w:pPr>
        <w:pStyle w:val="Default"/>
        <w:spacing w:line="360" w:lineRule="auto"/>
        <w:jc w:val="both"/>
      </w:pPr>
    </w:p>
    <w:p w:rsidR="00F30500" w:rsidRDefault="00F30500" w:rsidP="00CA6506">
      <w:pPr>
        <w:pStyle w:val="Default"/>
        <w:spacing w:line="360" w:lineRule="auto"/>
        <w:ind w:firstLine="851"/>
        <w:jc w:val="both"/>
      </w:pPr>
      <w:r>
        <w:t>4.2</w:t>
      </w:r>
      <w:r w:rsidR="00D82CFC">
        <w:t>.</w:t>
      </w:r>
      <w:r w:rsidR="002F228E">
        <w:t xml:space="preserve"> PAGRINDIN</w:t>
      </w:r>
      <w:r w:rsidR="0033153C">
        <w:t>IO UGDYMO PASIEKIMŲ PATIKRINIMO REZULTATAI</w:t>
      </w:r>
    </w:p>
    <w:p w:rsidR="00941B87" w:rsidRDefault="00D737E0" w:rsidP="00D737E0">
      <w:pPr>
        <w:tabs>
          <w:tab w:val="left" w:pos="0"/>
          <w:tab w:val="left" w:pos="8505"/>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Kaišiadorių rajono savivaldybės </w:t>
      </w:r>
      <w:r w:rsidR="00D34A2C">
        <w:rPr>
          <w:rFonts w:ascii="Times New Roman" w:eastAsia="Times New Roman" w:hAnsi="Times New Roman" w:cs="Times New Roman"/>
          <w:sz w:val="24"/>
          <w:szCs w:val="24"/>
          <w:lang w:eastAsia="ar-SA"/>
        </w:rPr>
        <w:t xml:space="preserve">2015–2017 m. PUPP matematikos ir lietuvių kalbos ir literatūros nepasiekusių </w:t>
      </w:r>
      <w:r>
        <w:rPr>
          <w:rFonts w:ascii="Times New Roman" w:eastAsia="Times New Roman" w:hAnsi="Times New Roman" w:cs="Times New Roman"/>
          <w:sz w:val="24"/>
          <w:szCs w:val="24"/>
          <w:lang w:eastAsia="ar-SA"/>
        </w:rPr>
        <w:t xml:space="preserve">net patenkinamo lygio procentinė dalis yra didesnė nei Lietuvos, o pasiekusių pagrindinį ir aukštesnįjį lygį procentinė dalis mažesnė negu Lietuvos. </w:t>
      </w:r>
    </w:p>
    <w:p w:rsidR="00941B87" w:rsidRDefault="00941B87" w:rsidP="00D737E0">
      <w:pPr>
        <w:tabs>
          <w:tab w:val="left" w:pos="0"/>
        </w:tabs>
        <w:suppressAutoHyphens/>
        <w:spacing w:after="0" w:line="360" w:lineRule="auto"/>
        <w:jc w:val="both"/>
        <w:rPr>
          <w:rFonts w:ascii="Times New Roman" w:eastAsia="Times New Roman" w:hAnsi="Times New Roman" w:cs="Times New Roman"/>
          <w:color w:val="FF0000"/>
          <w:sz w:val="24"/>
          <w:szCs w:val="24"/>
          <w:lang w:eastAsia="ar-SA"/>
        </w:rPr>
      </w:pPr>
      <w:r w:rsidRPr="00414B29">
        <w:rPr>
          <w:rFonts w:ascii="Times New Roman" w:eastAsia="Times New Roman" w:hAnsi="Times New Roman" w:cs="Times New Roman"/>
          <w:noProof/>
          <w:color w:val="FF0000"/>
          <w:sz w:val="28"/>
          <w:szCs w:val="28"/>
          <w:lang w:eastAsia="lt-LT"/>
        </w:rPr>
        <w:drawing>
          <wp:inline distT="0" distB="0" distL="0" distR="0">
            <wp:extent cx="5362575" cy="2590800"/>
            <wp:effectExtent l="0" t="0" r="9525" b="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7C5E" w:rsidRPr="00125EBD" w:rsidRDefault="004B7C5E" w:rsidP="00D737E0">
      <w:pPr>
        <w:tabs>
          <w:tab w:val="left" w:pos="0"/>
        </w:tabs>
        <w:suppressAutoHyphens/>
        <w:spacing w:after="0" w:line="360" w:lineRule="auto"/>
        <w:jc w:val="both"/>
        <w:rPr>
          <w:rFonts w:ascii="Times New Roman" w:eastAsia="Times New Roman" w:hAnsi="Times New Roman" w:cs="Times New Roman"/>
          <w:color w:val="FF0000"/>
          <w:sz w:val="24"/>
          <w:szCs w:val="24"/>
          <w:lang w:eastAsia="ar-SA"/>
        </w:rPr>
      </w:pPr>
    </w:p>
    <w:p w:rsidR="00941B87" w:rsidRPr="00125EBD" w:rsidRDefault="00941B87" w:rsidP="00D737E0">
      <w:pPr>
        <w:tabs>
          <w:tab w:val="left" w:pos="0"/>
        </w:tabs>
        <w:suppressAutoHyphens/>
        <w:spacing w:after="0" w:line="360" w:lineRule="auto"/>
        <w:jc w:val="both"/>
        <w:rPr>
          <w:rFonts w:ascii="Times New Roman" w:eastAsia="Times New Roman" w:hAnsi="Times New Roman" w:cs="Times New Roman"/>
          <w:color w:val="FF0000"/>
          <w:sz w:val="24"/>
          <w:szCs w:val="24"/>
          <w:lang w:eastAsia="ar-SA"/>
        </w:rPr>
      </w:pPr>
      <w:r w:rsidRPr="00125EBD">
        <w:rPr>
          <w:rFonts w:ascii="Times New Roman" w:eastAsia="Times New Roman" w:hAnsi="Times New Roman" w:cs="Times New Roman"/>
          <w:noProof/>
          <w:color w:val="FF0000"/>
          <w:sz w:val="24"/>
          <w:szCs w:val="24"/>
          <w:lang w:eastAsia="lt-LT"/>
        </w:rPr>
        <w:lastRenderedPageBreak/>
        <w:drawing>
          <wp:inline distT="0" distB="0" distL="0" distR="0">
            <wp:extent cx="5353050" cy="2428875"/>
            <wp:effectExtent l="0" t="0" r="0" b="9525"/>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1B87" w:rsidRPr="004B7C5E" w:rsidRDefault="00941B87" w:rsidP="004B7C5E">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CA6506" w:rsidRPr="004B7C5E" w:rsidRDefault="004B7C5E" w:rsidP="00831677">
      <w:pPr>
        <w:spacing w:line="360" w:lineRule="auto"/>
        <w:ind w:firstLine="1296"/>
        <w:jc w:val="both"/>
        <w:rPr>
          <w:rFonts w:ascii="Times New Roman" w:hAnsi="Times New Roman" w:cs="Times New Roman"/>
          <w:sz w:val="24"/>
          <w:szCs w:val="24"/>
        </w:rPr>
      </w:pPr>
      <w:r w:rsidRPr="004B7C5E">
        <w:rPr>
          <w:rFonts w:ascii="Times New Roman" w:hAnsi="Times New Roman" w:cs="Times New Roman"/>
          <w:sz w:val="24"/>
          <w:szCs w:val="24"/>
        </w:rPr>
        <w:t>Palyginus PUPP rezultatų vidurkius</w:t>
      </w:r>
      <w:r>
        <w:rPr>
          <w:rFonts w:ascii="Times New Roman" w:hAnsi="Times New Roman" w:cs="Times New Roman"/>
          <w:sz w:val="24"/>
          <w:szCs w:val="24"/>
        </w:rPr>
        <w:t>, stebimas lietuvių kalbos ir literatūros rezultatų vidurkio gerėjimas, o matematikos – blogėjimas.</w:t>
      </w:r>
      <w:r w:rsidR="00831677">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Didžiausią dėmesį reikėtų skirti matematikos rezultatų gerinimui.</w:t>
      </w:r>
    </w:p>
    <w:p w:rsidR="004B7C5E" w:rsidRDefault="004B7C5E" w:rsidP="00F30500">
      <w:r>
        <w:rPr>
          <w:noProof/>
          <w:lang w:eastAsia="lt-LT"/>
        </w:rPr>
        <w:drawing>
          <wp:inline distT="0" distB="0" distL="0" distR="0">
            <wp:extent cx="5486400" cy="265747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2CFC" w:rsidRDefault="00D82CFC" w:rsidP="00F30500"/>
    <w:p w:rsidR="00D82CFC" w:rsidRDefault="00D82CFC" w:rsidP="00F30500"/>
    <w:p w:rsidR="00D82CFC" w:rsidRDefault="00D82CFC" w:rsidP="00F30500"/>
    <w:p w:rsidR="00D82CFC" w:rsidRDefault="00D82CFC" w:rsidP="00F30500"/>
    <w:p w:rsidR="00D82CFC" w:rsidRDefault="00D82CFC" w:rsidP="00F30500"/>
    <w:p w:rsidR="00D82CFC" w:rsidRDefault="00D82CFC" w:rsidP="00F30500"/>
    <w:p w:rsidR="00D82CFC" w:rsidRDefault="00D82CFC" w:rsidP="00F30500"/>
    <w:p w:rsidR="00D82CFC" w:rsidRDefault="00D82CFC" w:rsidP="00F30500"/>
    <w:p w:rsidR="00D82CFC" w:rsidRDefault="00D82CFC" w:rsidP="00F30500"/>
    <w:p w:rsidR="00D34A2C" w:rsidRPr="0033153C" w:rsidRDefault="0033153C" w:rsidP="0033153C">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VALSTYBINIŲ BRANDOS EGZAMINŲ REZULTATAI</w:t>
      </w:r>
    </w:p>
    <w:p w:rsidR="00D34A2C" w:rsidRPr="00D34A2C" w:rsidRDefault="0056130B" w:rsidP="00D34A2C">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Išanalizavus trejų metų valstybinių brandos egzaminų išlaikymą, nustatyta, </w:t>
      </w:r>
      <w:r w:rsidRPr="00D34A2C">
        <w:rPr>
          <w:rFonts w:ascii="Times New Roman" w:eastAsia="Times New Roman" w:hAnsi="Times New Roman" w:cs="Times New Roman"/>
          <w:sz w:val="24"/>
          <w:szCs w:val="24"/>
          <w:lang w:eastAsia="ar-SA"/>
        </w:rPr>
        <w:t xml:space="preserve">kad rezultatai gerėja arba išlieka geri šių valstybinių brandos egzaminų: rusų kalbos, informacinių technologijų, biologijos, chemijos, fizikos ir geografijos. </w:t>
      </w:r>
      <w:r>
        <w:rPr>
          <w:rFonts w:ascii="Times New Roman" w:eastAsia="Times New Roman" w:hAnsi="Times New Roman" w:cs="Times New Roman"/>
          <w:sz w:val="24"/>
          <w:szCs w:val="24"/>
          <w:lang w:eastAsia="ar-SA"/>
        </w:rPr>
        <w:t>Lietuvių kalbos</w:t>
      </w:r>
      <w:r w:rsidR="008316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ir literatūros</w:t>
      </w:r>
      <w:r w:rsidR="00DB7BC1">
        <w:rPr>
          <w:rFonts w:ascii="Times New Roman" w:eastAsia="Times New Roman" w:hAnsi="Times New Roman" w:cs="Times New Roman"/>
          <w:sz w:val="24"/>
          <w:szCs w:val="24"/>
          <w:lang w:eastAsia="ar-SA"/>
        </w:rPr>
        <w:t>, anglų k. ir matematikos</w:t>
      </w:r>
      <w:r w:rsidR="00831677">
        <w:rPr>
          <w:rFonts w:ascii="Times New Roman" w:eastAsia="Times New Roman" w:hAnsi="Times New Roman" w:cs="Times New Roman"/>
          <w:sz w:val="24"/>
          <w:szCs w:val="24"/>
          <w:lang w:eastAsia="ar-SA"/>
        </w:rPr>
        <w:t xml:space="preserve"> </w:t>
      </w:r>
      <w:r w:rsidR="00DB7BC1">
        <w:rPr>
          <w:rFonts w:ascii="Times New Roman" w:eastAsia="Times New Roman" w:hAnsi="Times New Roman" w:cs="Times New Roman"/>
          <w:sz w:val="24"/>
          <w:szCs w:val="24"/>
          <w:lang w:eastAsia="ar-SA"/>
        </w:rPr>
        <w:t>valstybinių brandos egzaminų</w:t>
      </w:r>
      <w:r>
        <w:rPr>
          <w:rFonts w:ascii="Times New Roman" w:eastAsia="Times New Roman" w:hAnsi="Times New Roman" w:cs="Times New Roman"/>
          <w:sz w:val="24"/>
          <w:szCs w:val="24"/>
          <w:lang w:eastAsia="ar-SA"/>
        </w:rPr>
        <w:t xml:space="preserve"> rezultatai blogėja</w:t>
      </w:r>
      <w:r w:rsidR="00DB7BC1">
        <w:rPr>
          <w:rFonts w:ascii="Times New Roman" w:eastAsia="Times New Roman" w:hAnsi="Times New Roman" w:cs="Times New Roman"/>
          <w:sz w:val="24"/>
          <w:szCs w:val="24"/>
          <w:lang w:eastAsia="ar-SA"/>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850"/>
        <w:gridCol w:w="851"/>
        <w:gridCol w:w="850"/>
        <w:gridCol w:w="851"/>
        <w:gridCol w:w="850"/>
        <w:gridCol w:w="919"/>
        <w:gridCol w:w="851"/>
        <w:gridCol w:w="992"/>
        <w:gridCol w:w="992"/>
      </w:tblGrid>
      <w:tr w:rsidR="00D34A2C" w:rsidRPr="00D34A2C" w:rsidTr="00D82CFC">
        <w:trPr>
          <w:jc w:val="center"/>
        </w:trPr>
        <w:tc>
          <w:tcPr>
            <w:tcW w:w="1628" w:type="dxa"/>
            <w:vMerge w:val="restart"/>
            <w:vAlign w:val="center"/>
          </w:tcPr>
          <w:p w:rsidR="00D34A2C" w:rsidRPr="00D34A2C" w:rsidRDefault="00D34A2C" w:rsidP="00D34A2C">
            <w:pPr>
              <w:tabs>
                <w:tab w:val="left" w:pos="0"/>
              </w:tabs>
              <w:spacing w:after="0" w:line="240" w:lineRule="auto"/>
              <w:ind w:firstLine="709"/>
              <w:jc w:val="center"/>
              <w:rPr>
                <w:rFonts w:ascii="Times New Roman" w:eastAsia="Times New Roman" w:hAnsi="Times New Roman" w:cs="Times New Roman"/>
                <w:sz w:val="24"/>
                <w:szCs w:val="24"/>
              </w:rPr>
            </w:pPr>
          </w:p>
        </w:tc>
        <w:tc>
          <w:tcPr>
            <w:tcW w:w="2551" w:type="dxa"/>
            <w:gridSpan w:val="3"/>
          </w:tcPr>
          <w:p w:rsidR="00D34A2C" w:rsidRPr="00D34A2C" w:rsidRDefault="00D34A2C" w:rsidP="00D34A2C">
            <w:pPr>
              <w:tabs>
                <w:tab w:val="left" w:pos="0"/>
              </w:tabs>
              <w:spacing w:after="0" w:line="240" w:lineRule="auto"/>
              <w:ind w:firstLine="709"/>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2015 m.</w:t>
            </w:r>
          </w:p>
        </w:tc>
        <w:tc>
          <w:tcPr>
            <w:tcW w:w="2620" w:type="dxa"/>
            <w:gridSpan w:val="3"/>
          </w:tcPr>
          <w:p w:rsidR="00D34A2C" w:rsidRPr="00D34A2C" w:rsidRDefault="00D34A2C" w:rsidP="00D34A2C">
            <w:pPr>
              <w:tabs>
                <w:tab w:val="left" w:pos="0"/>
              </w:tabs>
              <w:spacing w:after="0" w:line="240" w:lineRule="auto"/>
              <w:ind w:firstLine="709"/>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2016 m.</w:t>
            </w:r>
          </w:p>
        </w:tc>
        <w:tc>
          <w:tcPr>
            <w:tcW w:w="2835" w:type="dxa"/>
            <w:gridSpan w:val="3"/>
          </w:tcPr>
          <w:p w:rsidR="00D34A2C" w:rsidRPr="00D34A2C" w:rsidRDefault="00D34A2C" w:rsidP="00D34A2C">
            <w:pPr>
              <w:tabs>
                <w:tab w:val="left" w:pos="0"/>
              </w:tabs>
              <w:spacing w:after="0" w:line="240" w:lineRule="auto"/>
              <w:ind w:firstLine="709"/>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2017 m.</w:t>
            </w:r>
          </w:p>
        </w:tc>
      </w:tr>
      <w:tr w:rsidR="00D34A2C" w:rsidRPr="00D34A2C" w:rsidTr="00D82CFC">
        <w:trPr>
          <w:jc w:val="center"/>
        </w:trPr>
        <w:tc>
          <w:tcPr>
            <w:tcW w:w="1628" w:type="dxa"/>
            <w:vMerge/>
            <w:vAlign w:val="center"/>
          </w:tcPr>
          <w:p w:rsidR="00D34A2C" w:rsidRPr="00D34A2C" w:rsidRDefault="00D34A2C" w:rsidP="00D34A2C">
            <w:pPr>
              <w:tabs>
                <w:tab w:val="left" w:pos="0"/>
              </w:tabs>
              <w:spacing w:after="0" w:line="240" w:lineRule="auto"/>
              <w:ind w:firstLine="709"/>
              <w:rPr>
                <w:rFonts w:ascii="Times New Roman" w:eastAsia="Times New Roman" w:hAnsi="Times New Roman" w:cs="Times New Roman"/>
                <w:sz w:val="24"/>
                <w:szCs w:val="24"/>
              </w:rPr>
            </w:pPr>
          </w:p>
        </w:tc>
        <w:tc>
          <w:tcPr>
            <w:tcW w:w="850" w:type="dxa"/>
          </w:tcPr>
          <w:p w:rsidR="00D34A2C" w:rsidRPr="00D34A2C" w:rsidRDefault="00D82CFC" w:rsidP="00D82CFC">
            <w:pPr>
              <w:tabs>
                <w:tab w:val="left" w:pos="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Kan-dida-</w:t>
            </w:r>
            <w:proofErr w:type="spellEnd"/>
            <w:r>
              <w:rPr>
                <w:rFonts w:ascii="Times New Roman" w:eastAsia="Times New Roman" w:hAnsi="Times New Roman" w:cs="Times New Roman"/>
                <w:sz w:val="24"/>
                <w:szCs w:val="24"/>
              </w:rPr>
              <w:t xml:space="preserve"> </w:t>
            </w:r>
            <w:r w:rsidR="00D34A2C" w:rsidRPr="00D34A2C">
              <w:rPr>
                <w:rFonts w:ascii="Times New Roman" w:eastAsia="Times New Roman" w:hAnsi="Times New Roman" w:cs="Times New Roman"/>
                <w:sz w:val="24"/>
                <w:szCs w:val="24"/>
              </w:rPr>
              <w:t>tų sk.</w:t>
            </w:r>
          </w:p>
        </w:tc>
        <w:tc>
          <w:tcPr>
            <w:tcW w:w="851" w:type="dxa"/>
          </w:tcPr>
          <w:p w:rsidR="00D34A2C" w:rsidRPr="00D34A2C" w:rsidRDefault="00D34A2C" w:rsidP="00D34A2C">
            <w:pPr>
              <w:tabs>
                <w:tab w:val="left" w:pos="0"/>
              </w:tabs>
              <w:spacing w:after="0" w:line="240" w:lineRule="auto"/>
              <w:jc w:val="center"/>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Išlai-kiusių</w:t>
            </w:r>
            <w:proofErr w:type="spellEnd"/>
          </w:p>
          <w:p w:rsidR="00D34A2C" w:rsidRPr="00D34A2C" w:rsidRDefault="00D34A2C" w:rsidP="00D34A2C">
            <w:pPr>
              <w:tabs>
                <w:tab w:val="left" w:pos="0"/>
              </w:tabs>
              <w:spacing w:after="0" w:line="240" w:lineRule="auto"/>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proc.</w:t>
            </w:r>
          </w:p>
        </w:tc>
        <w:tc>
          <w:tcPr>
            <w:tcW w:w="850" w:type="dxa"/>
          </w:tcPr>
          <w:p w:rsidR="00D34A2C" w:rsidRPr="00D34A2C" w:rsidRDefault="00D34A2C" w:rsidP="00D34A2C">
            <w:pPr>
              <w:tabs>
                <w:tab w:val="left" w:pos="0"/>
              </w:tabs>
              <w:spacing w:after="0" w:line="240" w:lineRule="auto"/>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Neiš-</w:t>
            </w:r>
            <w:proofErr w:type="spellStart"/>
            <w:r w:rsidRPr="00D34A2C">
              <w:rPr>
                <w:rFonts w:ascii="Times New Roman" w:eastAsia="Times New Roman" w:hAnsi="Times New Roman" w:cs="Times New Roman"/>
                <w:sz w:val="24"/>
                <w:szCs w:val="24"/>
              </w:rPr>
              <w:t>laikiu-sių</w:t>
            </w:r>
            <w:proofErr w:type="spellEnd"/>
            <w:r w:rsidRPr="00D34A2C">
              <w:rPr>
                <w:rFonts w:ascii="Times New Roman" w:eastAsia="Times New Roman" w:hAnsi="Times New Roman" w:cs="Times New Roman"/>
                <w:sz w:val="24"/>
                <w:szCs w:val="24"/>
              </w:rPr>
              <w:t xml:space="preserve"> proc.</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Kan-didatų</w:t>
            </w:r>
            <w:proofErr w:type="spellEnd"/>
            <w:r w:rsidRPr="00D34A2C">
              <w:rPr>
                <w:rFonts w:ascii="Times New Roman" w:eastAsia="Times New Roman" w:hAnsi="Times New Roman" w:cs="Times New Roman"/>
                <w:sz w:val="24"/>
                <w:szCs w:val="24"/>
              </w:rPr>
              <w:t xml:space="preserve"> sk.</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Išlai-kiusių</w:t>
            </w:r>
            <w:proofErr w:type="spellEnd"/>
          </w:p>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proc.</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Neiš-</w:t>
            </w:r>
            <w:proofErr w:type="spellStart"/>
            <w:r w:rsidRPr="00D34A2C">
              <w:rPr>
                <w:rFonts w:ascii="Times New Roman" w:eastAsia="Times New Roman" w:hAnsi="Times New Roman" w:cs="Times New Roman"/>
                <w:sz w:val="24"/>
                <w:szCs w:val="24"/>
              </w:rPr>
              <w:t>laikiu-sių</w:t>
            </w:r>
            <w:proofErr w:type="spellEnd"/>
          </w:p>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proc.</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Kan-didatų</w:t>
            </w:r>
            <w:proofErr w:type="spellEnd"/>
          </w:p>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sk.</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Išlai-kiusių</w:t>
            </w:r>
            <w:proofErr w:type="spellEnd"/>
          </w:p>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proc.</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proofErr w:type="spellStart"/>
            <w:r w:rsidRPr="00D34A2C">
              <w:rPr>
                <w:rFonts w:ascii="Times New Roman" w:eastAsia="Times New Roman" w:hAnsi="Times New Roman" w:cs="Times New Roman"/>
                <w:sz w:val="24"/>
                <w:szCs w:val="24"/>
              </w:rPr>
              <w:t>Neišlai-kiusių</w:t>
            </w:r>
            <w:proofErr w:type="spellEnd"/>
          </w:p>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proc.</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Lietuvių k. ir literatūra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224</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91,96</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8,06</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220</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89,5</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10,5</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190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85,26</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14,74</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Anglų k.</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203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99,01</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0,99</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205</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98,13</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1,87</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199</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96,48</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3,52</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Rusų k.</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4</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5</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 xml:space="preserve">Matematika </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145</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92,41</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7,59</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175</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90,17</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9,83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174</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96,00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4,00</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Informacinės technologijos</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27</w:t>
            </w:r>
          </w:p>
        </w:tc>
        <w:tc>
          <w:tcPr>
            <w:tcW w:w="851" w:type="dxa"/>
          </w:tcPr>
          <w:p w:rsidR="00D34A2C" w:rsidRPr="00D34A2C" w:rsidRDefault="00D34A2C" w:rsidP="00D34A2C">
            <w:pPr>
              <w:tabs>
                <w:tab w:val="left" w:pos="0"/>
              </w:tabs>
              <w:spacing w:after="0" w:line="240" w:lineRule="auto"/>
              <w:jc w:val="center"/>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31</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27</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Biologija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94</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93,62</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6,38</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58</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98,28</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1,72</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67</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98,51</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1,49</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Chemija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31</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96,77</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3,23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32</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96,67</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3,33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22</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Fizika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32</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29</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11</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Istorija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165</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94,55</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5,45</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116</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91,97</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8,03</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102</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99,02</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0,98</w:t>
            </w:r>
          </w:p>
        </w:tc>
      </w:tr>
      <w:tr w:rsidR="00D34A2C" w:rsidRPr="00D34A2C" w:rsidTr="00D82CFC">
        <w:trPr>
          <w:jc w:val="center"/>
        </w:trPr>
        <w:tc>
          <w:tcPr>
            <w:tcW w:w="1628" w:type="dxa"/>
          </w:tcPr>
          <w:p w:rsidR="00D34A2C" w:rsidRPr="00D34A2C" w:rsidRDefault="00D34A2C" w:rsidP="00D34A2C">
            <w:pPr>
              <w:tabs>
                <w:tab w:val="left" w:pos="0"/>
              </w:tabs>
              <w:spacing w:after="0" w:line="240" w:lineRule="auto"/>
              <w:jc w:val="both"/>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Geografija</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72</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97,22</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2,78</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60</w:t>
            </w:r>
          </w:p>
        </w:tc>
        <w:tc>
          <w:tcPr>
            <w:tcW w:w="850"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19"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c>
          <w:tcPr>
            <w:tcW w:w="851"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57</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100</w:t>
            </w:r>
          </w:p>
        </w:tc>
        <w:tc>
          <w:tcPr>
            <w:tcW w:w="992" w:type="dxa"/>
          </w:tcPr>
          <w:p w:rsidR="00D34A2C" w:rsidRPr="00D34A2C" w:rsidRDefault="00D34A2C" w:rsidP="00D34A2C">
            <w:pPr>
              <w:tabs>
                <w:tab w:val="left" w:pos="0"/>
              </w:tabs>
              <w:spacing w:after="0" w:line="240" w:lineRule="auto"/>
              <w:rPr>
                <w:rFonts w:ascii="Times New Roman" w:eastAsia="Times New Roman" w:hAnsi="Times New Roman" w:cs="Times New Roman"/>
                <w:sz w:val="24"/>
                <w:szCs w:val="24"/>
              </w:rPr>
            </w:pPr>
            <w:r w:rsidRPr="00D34A2C">
              <w:rPr>
                <w:rFonts w:ascii="Times New Roman" w:eastAsia="Times New Roman" w:hAnsi="Times New Roman" w:cs="Times New Roman"/>
                <w:sz w:val="24"/>
                <w:szCs w:val="24"/>
              </w:rPr>
              <w:t>0</w:t>
            </w:r>
          </w:p>
        </w:tc>
      </w:tr>
    </w:tbl>
    <w:p w:rsidR="00D34A2C" w:rsidRPr="00D34A2C" w:rsidRDefault="00D34A2C" w:rsidP="00D34A2C">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p>
    <w:p w:rsidR="00D82CFC" w:rsidRDefault="00D82CFC" w:rsidP="009D2EDC">
      <w:pPr>
        <w:jc w:val="center"/>
      </w:pPr>
    </w:p>
    <w:p w:rsidR="00D34A2C" w:rsidRDefault="009D2EDC" w:rsidP="009D2EDC">
      <w:pPr>
        <w:jc w:val="center"/>
      </w:pPr>
      <w:r>
        <w:t>____________________________________</w:t>
      </w:r>
    </w:p>
    <w:p w:rsidR="00D34A2C" w:rsidRPr="00CA6506" w:rsidRDefault="00D34A2C" w:rsidP="00F30500"/>
    <w:sectPr w:rsidR="00D34A2C" w:rsidRPr="00CA6506" w:rsidSect="00D82CFC">
      <w:headerReference w:type="default" r:id="rId18"/>
      <w:pgSz w:w="11906" w:h="16838"/>
      <w:pgMar w:top="1418" w:right="70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A5" w:rsidRDefault="000006A5" w:rsidP="00D4459C">
      <w:pPr>
        <w:spacing w:after="0" w:line="240" w:lineRule="auto"/>
      </w:pPr>
      <w:r>
        <w:separator/>
      </w:r>
    </w:p>
  </w:endnote>
  <w:endnote w:type="continuationSeparator" w:id="0">
    <w:p w:rsidR="000006A5" w:rsidRDefault="000006A5" w:rsidP="00D4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A5" w:rsidRDefault="000006A5" w:rsidP="00D4459C">
      <w:pPr>
        <w:spacing w:after="0" w:line="240" w:lineRule="auto"/>
      </w:pPr>
      <w:r>
        <w:separator/>
      </w:r>
    </w:p>
  </w:footnote>
  <w:footnote w:type="continuationSeparator" w:id="0">
    <w:p w:rsidR="000006A5" w:rsidRDefault="000006A5" w:rsidP="00D44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63030"/>
      <w:docPartObj>
        <w:docPartGallery w:val="Page Numbers (Top of Page)"/>
        <w:docPartUnique/>
      </w:docPartObj>
    </w:sdtPr>
    <w:sdtEndPr/>
    <w:sdtContent>
      <w:p w:rsidR="00D4459C" w:rsidRDefault="00D4459C">
        <w:pPr>
          <w:pStyle w:val="Antrats"/>
          <w:jc w:val="center"/>
        </w:pPr>
        <w:r>
          <w:fldChar w:fldCharType="begin"/>
        </w:r>
        <w:r>
          <w:instrText>PAGE   \* MERGEFORMAT</w:instrText>
        </w:r>
        <w:r>
          <w:fldChar w:fldCharType="separate"/>
        </w:r>
        <w:r w:rsidR="001C7803">
          <w:rPr>
            <w:noProof/>
          </w:rPr>
          <w:t>10</w:t>
        </w:r>
        <w:r>
          <w:fldChar w:fldCharType="end"/>
        </w:r>
      </w:p>
    </w:sdtContent>
  </w:sdt>
  <w:p w:rsidR="00D4459C" w:rsidRDefault="00D445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8C4"/>
    <w:multiLevelType w:val="hybridMultilevel"/>
    <w:tmpl w:val="469E70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84C81"/>
    <w:multiLevelType w:val="multilevel"/>
    <w:tmpl w:val="E8CED4B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4CA513A3"/>
    <w:multiLevelType w:val="hybridMultilevel"/>
    <w:tmpl w:val="228A7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C45D2A"/>
    <w:multiLevelType w:val="hybridMultilevel"/>
    <w:tmpl w:val="D7427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5C"/>
    <w:rsid w:val="000006A5"/>
    <w:rsid w:val="00061D20"/>
    <w:rsid w:val="000A610E"/>
    <w:rsid w:val="000B4AFE"/>
    <w:rsid w:val="001118CD"/>
    <w:rsid w:val="00143BBE"/>
    <w:rsid w:val="001662F4"/>
    <w:rsid w:val="0019377E"/>
    <w:rsid w:val="001C7803"/>
    <w:rsid w:val="002037E8"/>
    <w:rsid w:val="00227806"/>
    <w:rsid w:val="002307D2"/>
    <w:rsid w:val="002D56DA"/>
    <w:rsid w:val="002F228E"/>
    <w:rsid w:val="0033153C"/>
    <w:rsid w:val="00345EAE"/>
    <w:rsid w:val="0037121A"/>
    <w:rsid w:val="003A5D09"/>
    <w:rsid w:val="003D7545"/>
    <w:rsid w:val="003E6798"/>
    <w:rsid w:val="004B7C5E"/>
    <w:rsid w:val="0056130B"/>
    <w:rsid w:val="00592213"/>
    <w:rsid w:val="005A0C5C"/>
    <w:rsid w:val="005B1872"/>
    <w:rsid w:val="005D3397"/>
    <w:rsid w:val="005F53B3"/>
    <w:rsid w:val="006013CA"/>
    <w:rsid w:val="006316CB"/>
    <w:rsid w:val="00660B0C"/>
    <w:rsid w:val="007729B8"/>
    <w:rsid w:val="00793FB0"/>
    <w:rsid w:val="007C7584"/>
    <w:rsid w:val="00800CD7"/>
    <w:rsid w:val="00831677"/>
    <w:rsid w:val="0086751D"/>
    <w:rsid w:val="00914B72"/>
    <w:rsid w:val="00941B87"/>
    <w:rsid w:val="00956DDD"/>
    <w:rsid w:val="009A3968"/>
    <w:rsid w:val="009A615F"/>
    <w:rsid w:val="009B2A81"/>
    <w:rsid w:val="009B4A46"/>
    <w:rsid w:val="009B5D9F"/>
    <w:rsid w:val="009D2EDC"/>
    <w:rsid w:val="009E1A13"/>
    <w:rsid w:val="00B0550E"/>
    <w:rsid w:val="00BA4274"/>
    <w:rsid w:val="00C03A19"/>
    <w:rsid w:val="00CA6506"/>
    <w:rsid w:val="00D31D4E"/>
    <w:rsid w:val="00D34A2C"/>
    <w:rsid w:val="00D4459C"/>
    <w:rsid w:val="00D737E0"/>
    <w:rsid w:val="00D82CFC"/>
    <w:rsid w:val="00DB4AA3"/>
    <w:rsid w:val="00DB7BC1"/>
    <w:rsid w:val="00E234A4"/>
    <w:rsid w:val="00E42F5B"/>
    <w:rsid w:val="00E44D23"/>
    <w:rsid w:val="00E5650E"/>
    <w:rsid w:val="00E57A1E"/>
    <w:rsid w:val="00F041FA"/>
    <w:rsid w:val="00F30500"/>
    <w:rsid w:val="00F404DD"/>
    <w:rsid w:val="00F61981"/>
    <w:rsid w:val="00FA0FF8"/>
    <w:rsid w:val="00FD2D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B8414-EC35-4B0E-8F2C-BE7CDDE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18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A0C5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E5650E"/>
    <w:pPr>
      <w:ind w:left="720"/>
      <w:contextualSpacing/>
    </w:pPr>
  </w:style>
  <w:style w:type="paragraph" w:customStyle="1" w:styleId="CharCharCharCharChar1CharCharCharCharCharCharChar">
    <w:name w:val="Char Char Char Char Char1 Char Char Char Char Char Char Char"/>
    <w:basedOn w:val="prastasis"/>
    <w:semiHidden/>
    <w:rsid w:val="00E234A4"/>
    <w:pPr>
      <w:spacing w:line="240" w:lineRule="exact"/>
    </w:pPr>
    <w:rPr>
      <w:rFonts w:ascii="Verdana" w:eastAsia="Times New Roman" w:hAnsi="Verdana" w:cs="Verdana"/>
      <w:sz w:val="20"/>
      <w:szCs w:val="20"/>
      <w:lang w:eastAsia="lt-LT"/>
    </w:rPr>
  </w:style>
  <w:style w:type="table" w:styleId="Lentelstinklelis">
    <w:name w:val="Table Grid"/>
    <w:basedOn w:val="prastojilentel"/>
    <w:uiPriority w:val="39"/>
    <w:rsid w:val="00BA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9A61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99"/>
    <w:rsid w:val="00D34A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937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377E"/>
    <w:rPr>
      <w:rFonts w:ascii="Tahoma" w:hAnsi="Tahoma" w:cs="Tahoma"/>
      <w:sz w:val="16"/>
      <w:szCs w:val="16"/>
    </w:rPr>
  </w:style>
  <w:style w:type="paragraph" w:styleId="Antrats">
    <w:name w:val="header"/>
    <w:basedOn w:val="prastasis"/>
    <w:link w:val="AntratsDiagrama"/>
    <w:uiPriority w:val="99"/>
    <w:unhideWhenUsed/>
    <w:rsid w:val="00D445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459C"/>
  </w:style>
  <w:style w:type="paragraph" w:styleId="Porat">
    <w:name w:val="footer"/>
    <w:basedOn w:val="prastasis"/>
    <w:link w:val="PoratDiagrama"/>
    <w:uiPriority w:val="99"/>
    <w:unhideWhenUsed/>
    <w:rsid w:val="00D445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4052">
      <w:bodyDiv w:val="1"/>
      <w:marLeft w:val="0"/>
      <w:marRight w:val="0"/>
      <w:marTop w:val="0"/>
      <w:marBottom w:val="0"/>
      <w:divBdr>
        <w:top w:val="none" w:sz="0" w:space="0" w:color="auto"/>
        <w:left w:val="none" w:sz="0" w:space="0" w:color="auto"/>
        <w:bottom w:val="none" w:sz="0" w:space="0" w:color="auto"/>
        <w:right w:val="none" w:sz="0" w:space="0" w:color="auto"/>
      </w:divBdr>
    </w:div>
    <w:div w:id="20531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85002108745796"/>
          <c:y val="4.4444444444444462E-3"/>
          <c:w val="0.64381605185467272"/>
          <c:h val="0.89764444444444491"/>
        </c:manualLayout>
      </c:layout>
      <c:barChart>
        <c:barDir val="bar"/>
        <c:grouping val="stacked"/>
        <c:varyColors val="0"/>
        <c:ser>
          <c:idx val="0"/>
          <c:order val="0"/>
          <c:tx>
            <c:strRef>
              <c:f>Sheet1!$A$2</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6"/>
                <c:pt idx="0">
                  <c:v>Ikimokyklinio ugd. įstaigos</c:v>
                </c:pt>
                <c:pt idx="1">
                  <c:v>Mokyklos-darželiai</c:v>
                </c:pt>
                <c:pt idx="2">
                  <c:v>Pagrindinės m-klos</c:v>
                </c:pt>
                <c:pt idx="3">
                  <c:v>Progimnazija</c:v>
                </c:pt>
                <c:pt idx="4">
                  <c:v>Gimnazijos</c:v>
                </c:pt>
                <c:pt idx="5">
                  <c:v>Neformaliojo vaikų švietimo m-kla</c:v>
                </c:pt>
              </c:strCache>
            </c:strRef>
          </c:cat>
          <c:val>
            <c:numRef>
              <c:f>Sheet1!$B$2:$H$2</c:f>
              <c:numCache>
                <c:formatCode>General</c:formatCode>
                <c:ptCount val="7"/>
                <c:pt idx="0">
                  <c:v>7</c:v>
                </c:pt>
                <c:pt idx="1">
                  <c:v>3</c:v>
                </c:pt>
                <c:pt idx="2">
                  <c:v>6</c:v>
                </c:pt>
                <c:pt idx="3">
                  <c:v>1</c:v>
                </c:pt>
                <c:pt idx="4">
                  <c:v>4</c:v>
                </c:pt>
                <c:pt idx="5">
                  <c:v>2</c:v>
                </c:pt>
              </c:numCache>
            </c:numRef>
          </c:val>
        </c:ser>
        <c:ser>
          <c:idx val="1"/>
          <c:order val="1"/>
          <c:tx>
            <c:strRef>
              <c:f>Sheet1!$A$3</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6"/>
                <c:pt idx="0">
                  <c:v>Ikimokyklinio ugd. įstaigos</c:v>
                </c:pt>
                <c:pt idx="1">
                  <c:v>Mokyklos-darželiai</c:v>
                </c:pt>
                <c:pt idx="2">
                  <c:v>Pagrindinės m-klos</c:v>
                </c:pt>
                <c:pt idx="3">
                  <c:v>Progimnazija</c:v>
                </c:pt>
                <c:pt idx="4">
                  <c:v>Gimnazijos</c:v>
                </c:pt>
                <c:pt idx="5">
                  <c:v>Neformaliojo vaikų švietimo m-kla</c:v>
                </c:pt>
              </c:strCache>
            </c:strRef>
          </c:cat>
          <c:val>
            <c:numRef>
              <c:f>Sheet1!$B$3:$H$3</c:f>
              <c:numCache>
                <c:formatCode>General</c:formatCode>
                <c:ptCount val="7"/>
                <c:pt idx="0">
                  <c:v>7</c:v>
                </c:pt>
                <c:pt idx="1">
                  <c:v>3</c:v>
                </c:pt>
                <c:pt idx="2">
                  <c:v>5</c:v>
                </c:pt>
                <c:pt idx="3">
                  <c:v>1</c:v>
                </c:pt>
                <c:pt idx="4">
                  <c:v>5</c:v>
                </c:pt>
                <c:pt idx="5">
                  <c:v>2</c:v>
                </c:pt>
              </c:numCache>
            </c:numRef>
          </c:val>
        </c:ser>
        <c:ser>
          <c:idx val="2"/>
          <c:order val="2"/>
          <c:tx>
            <c:strRef>
              <c:f>Sheet1!$A$4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6"/>
                <c:pt idx="0">
                  <c:v>Ikimokyklinio ugd. įstaigos</c:v>
                </c:pt>
                <c:pt idx="1">
                  <c:v>Mokyklos-darželiai</c:v>
                </c:pt>
                <c:pt idx="2">
                  <c:v>Pagrindinės m-klos</c:v>
                </c:pt>
                <c:pt idx="3">
                  <c:v>Progimnazija</c:v>
                </c:pt>
                <c:pt idx="4">
                  <c:v>Gimnazijos</c:v>
                </c:pt>
                <c:pt idx="5">
                  <c:v>Neformaliojo vaikų švietimo m-kla</c:v>
                </c:pt>
              </c:strCache>
            </c:strRef>
          </c:cat>
          <c:val>
            <c:numRef>
              <c:f>Sheet1!$B$4:$H$4</c:f>
              <c:numCache>
                <c:formatCode>General</c:formatCode>
                <c:ptCount val="7"/>
                <c:pt idx="0">
                  <c:v>7</c:v>
                </c:pt>
                <c:pt idx="1">
                  <c:v>3</c:v>
                </c:pt>
                <c:pt idx="2">
                  <c:v>5</c:v>
                </c:pt>
                <c:pt idx="3">
                  <c:v>1</c:v>
                </c:pt>
                <c:pt idx="4">
                  <c:v>5</c:v>
                </c:pt>
                <c:pt idx="5">
                  <c:v>2</c:v>
                </c:pt>
              </c:numCache>
            </c:numRef>
          </c:val>
        </c:ser>
        <c:dLbls>
          <c:showLegendKey val="0"/>
          <c:showVal val="0"/>
          <c:showCatName val="0"/>
          <c:showSerName val="0"/>
          <c:showPercent val="0"/>
          <c:showBubbleSize val="0"/>
        </c:dLbls>
        <c:gapWidth val="150"/>
        <c:overlap val="100"/>
        <c:axId val="372576584"/>
        <c:axId val="372571096"/>
      </c:barChart>
      <c:catAx>
        <c:axId val="372576584"/>
        <c:scaling>
          <c:orientation val="minMax"/>
        </c:scaling>
        <c:delete val="0"/>
        <c:axPos val="l"/>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2571096"/>
        <c:crosses val="autoZero"/>
        <c:auto val="1"/>
        <c:lblAlgn val="ctr"/>
        <c:lblOffset val="100"/>
        <c:noMultiLvlLbl val="0"/>
      </c:catAx>
      <c:valAx>
        <c:axId val="372571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2576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lt-LT" sz="1400"/>
              <a:t>PUPP Matematikos rezultatai</a:t>
            </a:r>
          </a:p>
        </c:rich>
      </c:tx>
      <c:overlay val="0"/>
      <c:spPr>
        <a:noFill/>
        <a:ln w="25412">
          <a:noFill/>
        </a:ln>
      </c:spPr>
    </c:title>
    <c:autoTitleDeleted val="0"/>
    <c:plotArea>
      <c:layout>
        <c:manualLayout>
          <c:layoutTarget val="inner"/>
          <c:xMode val="edge"/>
          <c:yMode val="edge"/>
          <c:x val="0.23445483377077891"/>
          <c:y val="0.10750000000000012"/>
          <c:w val="0.7358229440069991"/>
          <c:h val="0.66998656417948133"/>
        </c:manualLayout>
      </c:layout>
      <c:barChart>
        <c:barDir val="bar"/>
        <c:grouping val="percentStacked"/>
        <c:varyColors val="0"/>
        <c:ser>
          <c:idx val="0"/>
          <c:order val="0"/>
          <c:tx>
            <c:strRef>
              <c:f>Lapas1!$B$1</c:f>
              <c:strCache>
                <c:ptCount val="1"/>
                <c:pt idx="0">
                  <c:v>Įvertinta 4-10</c:v>
                </c:pt>
              </c:strCache>
            </c:strRef>
          </c:tx>
          <c:spPr>
            <a:solidFill>
              <a:srgbClr val="4472C4"/>
            </a:solidFill>
            <a:ln w="25382">
              <a:noFill/>
            </a:ln>
          </c:spPr>
          <c:invertIfNegative val="0"/>
          <c:dLbls>
            <c:spPr>
              <a:noFill/>
              <a:ln w="2541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Lapas1!$B$2:$B$7</c:f>
              <c:numCache>
                <c:formatCode>General</c:formatCode>
                <c:ptCount val="6"/>
                <c:pt idx="0">
                  <c:v>82.9</c:v>
                </c:pt>
                <c:pt idx="1">
                  <c:v>74.2</c:v>
                </c:pt>
                <c:pt idx="2">
                  <c:v>83.94</c:v>
                </c:pt>
                <c:pt idx="3">
                  <c:v>79.12</c:v>
                </c:pt>
                <c:pt idx="4">
                  <c:v>77.2</c:v>
                </c:pt>
                <c:pt idx="5">
                  <c:v>81.8</c:v>
                </c:pt>
              </c:numCache>
            </c:numRef>
          </c:val>
        </c:ser>
        <c:ser>
          <c:idx val="1"/>
          <c:order val="1"/>
          <c:tx>
            <c:strRef>
              <c:f>Lapas1!$C$1</c:f>
              <c:strCache>
                <c:ptCount val="1"/>
                <c:pt idx="0">
                  <c:v>Įvertinta 1-3</c:v>
                </c:pt>
              </c:strCache>
            </c:strRef>
          </c:tx>
          <c:spPr>
            <a:solidFill>
              <a:srgbClr val="ED7D31"/>
            </a:solidFill>
            <a:ln w="25382">
              <a:noFill/>
            </a:ln>
          </c:spPr>
          <c:invertIfNegative val="0"/>
          <c:dLbls>
            <c:spPr>
              <a:noFill/>
              <a:ln w="2541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Lapas1!$C$2:$C$7</c:f>
              <c:numCache>
                <c:formatCode>General</c:formatCode>
                <c:ptCount val="6"/>
                <c:pt idx="0">
                  <c:v>17.100000000000001</c:v>
                </c:pt>
                <c:pt idx="1">
                  <c:v>25.8</c:v>
                </c:pt>
                <c:pt idx="2">
                  <c:v>16.05</c:v>
                </c:pt>
                <c:pt idx="3">
                  <c:v>20.88</c:v>
                </c:pt>
                <c:pt idx="4">
                  <c:v>22.8</c:v>
                </c:pt>
                <c:pt idx="5">
                  <c:v>18.2</c:v>
                </c:pt>
              </c:numCache>
            </c:numRef>
          </c:val>
        </c:ser>
        <c:ser>
          <c:idx val="2"/>
          <c:order val="2"/>
          <c:tx>
            <c:strRef>
              <c:f>Lapas1!$D$1</c:f>
              <c:strCache>
                <c:ptCount val="1"/>
                <c:pt idx="0">
                  <c:v>Stulpelis1</c:v>
                </c:pt>
              </c:strCache>
            </c:strRef>
          </c:tx>
          <c:spPr>
            <a:solidFill>
              <a:srgbClr val="A5A5A5"/>
            </a:solidFill>
            <a:ln w="25382">
              <a:noFill/>
            </a:ln>
          </c:spPr>
          <c:invertIfNegative val="0"/>
          <c:dLbls>
            <c:spPr>
              <a:noFill/>
              <a:ln w="2541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Lapas1!$D$2:$D$7</c:f>
              <c:numCache>
                <c:formatCode>General</c:formatCode>
                <c:ptCount val="6"/>
              </c:numCache>
            </c:numRef>
          </c:val>
        </c:ser>
        <c:dLbls>
          <c:showLegendKey val="0"/>
          <c:showVal val="0"/>
          <c:showCatName val="0"/>
          <c:showSerName val="0"/>
          <c:showPercent val="0"/>
          <c:showBubbleSize val="0"/>
        </c:dLbls>
        <c:gapWidth val="219"/>
        <c:overlap val="100"/>
        <c:axId val="407235504"/>
        <c:axId val="407246480"/>
      </c:barChart>
      <c:catAx>
        <c:axId val="407235504"/>
        <c:scaling>
          <c:orientation val="minMax"/>
        </c:scaling>
        <c:delete val="0"/>
        <c:axPos val="l"/>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vert="horz"/>
          <a:lstStyle/>
          <a:p>
            <a:pPr>
              <a:defRPr/>
            </a:pPr>
            <a:endParaRPr lang="lt-LT"/>
          </a:p>
        </c:txPr>
        <c:crossAx val="407246480"/>
        <c:crosses val="autoZero"/>
        <c:auto val="1"/>
        <c:lblAlgn val="ctr"/>
        <c:lblOffset val="100"/>
        <c:noMultiLvlLbl val="0"/>
      </c:catAx>
      <c:valAx>
        <c:axId val="407246480"/>
        <c:scaling>
          <c:orientation val="minMax"/>
        </c:scaling>
        <c:delete val="0"/>
        <c:axPos val="b"/>
        <c:majorGridlines>
          <c:spPr>
            <a:ln w="9518" cap="flat" cmpd="sng" algn="ctr">
              <a:solidFill>
                <a:schemeClr val="tx1">
                  <a:lumMod val="15000"/>
                  <a:lumOff val="85000"/>
                </a:schemeClr>
              </a:solidFill>
              <a:round/>
            </a:ln>
            <a:effectLst/>
          </c:spPr>
        </c:majorGridlines>
        <c:numFmt formatCode="0%" sourceLinked="1"/>
        <c:majorTickMark val="none"/>
        <c:minorTickMark val="none"/>
        <c:tickLblPos val="nextTo"/>
        <c:spPr>
          <a:ln w="6345">
            <a:noFill/>
          </a:ln>
        </c:spPr>
        <c:txPr>
          <a:bodyPr rot="-60000000" vert="horz"/>
          <a:lstStyle/>
          <a:p>
            <a:pPr>
              <a:defRPr/>
            </a:pPr>
            <a:endParaRPr lang="lt-LT"/>
          </a:p>
        </c:txPr>
        <c:crossAx val="407235504"/>
        <c:crosses val="autoZero"/>
        <c:crossBetween val="between"/>
      </c:valAx>
      <c:spPr>
        <a:noFill/>
        <a:ln w="25412">
          <a:noFill/>
        </a:ln>
      </c:spPr>
    </c:plotArea>
    <c:legend>
      <c:legendPos val="b"/>
      <c:legendEntry>
        <c:idx val="2"/>
        <c:delete val="1"/>
      </c:legendEntry>
      <c:overlay val="0"/>
      <c:spPr>
        <a:noFill/>
        <a:ln w="25382">
          <a:noFill/>
        </a:ln>
      </c:spPr>
      <c:txPr>
        <a:bodyPr rot="0" vert="horz"/>
        <a:lstStyle/>
        <a:p>
          <a:pPr>
            <a:defRPr/>
          </a:pPr>
          <a:endParaRPr lang="lt-LT"/>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PUPP rezultatų vidurkio pokytis</a:t>
            </a:r>
          </a:p>
        </c:rich>
      </c:tx>
      <c:overlay val="0"/>
      <c:spPr>
        <a:noFill/>
        <a:ln>
          <a:noFill/>
        </a:ln>
        <a:effectLst/>
      </c:spPr>
    </c:title>
    <c:autoTitleDeleted val="0"/>
    <c:plotArea>
      <c:layout>
        <c:manualLayout>
          <c:layoutTarget val="inner"/>
          <c:xMode val="edge"/>
          <c:yMode val="edge"/>
          <c:x val="4.9558180227471563E-2"/>
          <c:y val="0.17496031746031751"/>
          <c:w val="0.92960848643919569"/>
          <c:h val="0.66998656417947777"/>
        </c:manualLayout>
      </c:layout>
      <c:lineChart>
        <c:grouping val="standard"/>
        <c:varyColors val="0"/>
        <c:ser>
          <c:idx val="0"/>
          <c:order val="0"/>
          <c:tx>
            <c:strRef>
              <c:f>Lapas1!$B$1</c:f>
              <c:strCache>
                <c:ptCount val="1"/>
                <c:pt idx="0">
                  <c:v>matematika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2015 m.</c:v>
                </c:pt>
                <c:pt idx="1">
                  <c:v>2016 m.</c:v>
                </c:pt>
                <c:pt idx="2">
                  <c:v>2017 m.</c:v>
                </c:pt>
              </c:strCache>
            </c:strRef>
          </c:cat>
          <c:val>
            <c:numRef>
              <c:f>Lapas1!$B$2:$B$4</c:f>
              <c:numCache>
                <c:formatCode>General</c:formatCode>
                <c:ptCount val="3"/>
                <c:pt idx="0">
                  <c:v>5.4700000000000015</c:v>
                </c:pt>
                <c:pt idx="1">
                  <c:v>5.3199999999999985</c:v>
                </c:pt>
                <c:pt idx="2">
                  <c:v>5.4</c:v>
                </c:pt>
              </c:numCache>
            </c:numRef>
          </c:val>
          <c:smooth val="0"/>
        </c:ser>
        <c:ser>
          <c:idx val="1"/>
          <c:order val="1"/>
          <c:tx>
            <c:strRef>
              <c:f>Lapas1!$C$1</c:f>
              <c:strCache>
                <c:ptCount val="1"/>
                <c:pt idx="0">
                  <c:v>lietuvių k.</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2015 m.</c:v>
                </c:pt>
                <c:pt idx="1">
                  <c:v>2016 m.</c:v>
                </c:pt>
                <c:pt idx="2">
                  <c:v>2017 m.</c:v>
                </c:pt>
              </c:strCache>
            </c:strRef>
          </c:cat>
          <c:val>
            <c:numRef>
              <c:f>Lapas1!$C$2:$C$4</c:f>
              <c:numCache>
                <c:formatCode>General</c:formatCode>
                <c:ptCount val="3"/>
                <c:pt idx="0">
                  <c:v>6.13</c:v>
                </c:pt>
                <c:pt idx="1">
                  <c:v>6.29</c:v>
                </c:pt>
                <c:pt idx="2">
                  <c:v>6.53</c:v>
                </c:pt>
              </c:numCache>
            </c:numRef>
          </c:val>
          <c:smooth val="0"/>
        </c:ser>
        <c:dLbls>
          <c:showLegendKey val="0"/>
          <c:showVal val="1"/>
          <c:showCatName val="0"/>
          <c:showSerName val="0"/>
          <c:showPercent val="0"/>
          <c:showBubbleSize val="0"/>
        </c:dLbls>
        <c:marker val="1"/>
        <c:smooth val="0"/>
        <c:axId val="405476136"/>
        <c:axId val="520491224"/>
      </c:lineChart>
      <c:catAx>
        <c:axId val="405476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20491224"/>
        <c:crosses val="autoZero"/>
        <c:auto val="1"/>
        <c:lblAlgn val="ctr"/>
        <c:lblOffset val="100"/>
        <c:noMultiLvlLbl val="0"/>
      </c:catAx>
      <c:valAx>
        <c:axId val="520491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54761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9.7428550597841945E-2"/>
          <c:y val="0.16093645484949845"/>
          <c:w val="0.89794181977252863"/>
          <c:h val="0.62914878115151995"/>
        </c:manualLayout>
      </c:layout>
      <c:lineChart>
        <c:grouping val="standard"/>
        <c:varyColors val="0"/>
        <c:ser>
          <c:idx val="0"/>
          <c:order val="0"/>
          <c:tx>
            <c:strRef>
              <c:f>Lapas1!$B$1</c:f>
              <c:strCache>
                <c:ptCount val="1"/>
                <c:pt idx="0">
                  <c:v>Mokinių skaičiaus kaita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Lapas1!$B$2:$B$5</c:f>
              <c:numCache>
                <c:formatCode>General</c:formatCode>
                <c:ptCount val="4"/>
                <c:pt idx="0">
                  <c:v>4859</c:v>
                </c:pt>
                <c:pt idx="1">
                  <c:v>4731</c:v>
                </c:pt>
                <c:pt idx="2">
                  <c:v>4693</c:v>
                </c:pt>
              </c:numCache>
            </c:numRef>
          </c:val>
          <c:smooth val="0"/>
        </c:ser>
        <c:dLbls>
          <c:showLegendKey val="0"/>
          <c:showVal val="1"/>
          <c:showCatName val="0"/>
          <c:showSerName val="0"/>
          <c:showPercent val="0"/>
          <c:showBubbleSize val="0"/>
        </c:dLbls>
        <c:marker val="1"/>
        <c:smooth val="0"/>
        <c:axId val="372577368"/>
        <c:axId val="421486424"/>
      </c:lineChart>
      <c:catAx>
        <c:axId val="372577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1486424"/>
        <c:crosses val="autoZero"/>
        <c:auto val="1"/>
        <c:lblAlgn val="ctr"/>
        <c:lblOffset val="100"/>
        <c:noMultiLvlLbl val="0"/>
      </c:catAx>
      <c:valAx>
        <c:axId val="4214864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2577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78009259259258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3.9351851851851853E-2"/>
          <c:y val="0.17053587051618549"/>
          <c:w val="0.94907407407407451"/>
          <c:h val="0.65060148731408629"/>
        </c:manualLayout>
      </c:layout>
      <c:lineChart>
        <c:grouping val="standard"/>
        <c:varyColors val="0"/>
        <c:ser>
          <c:idx val="0"/>
          <c:order val="0"/>
          <c:tx>
            <c:strRef>
              <c:f>Lapas1!$B$1</c:f>
              <c:strCache>
                <c:ptCount val="1"/>
                <c:pt idx="0">
                  <c:v>Mokinių vidurkio kaita mokyklose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Lapas1!$B$2:$B$5</c:f>
              <c:numCache>
                <c:formatCode>General</c:formatCode>
                <c:ptCount val="4"/>
                <c:pt idx="0">
                  <c:v>220.9</c:v>
                </c:pt>
                <c:pt idx="1">
                  <c:v>225.3</c:v>
                </c:pt>
                <c:pt idx="2">
                  <c:v>223.5</c:v>
                </c:pt>
              </c:numCache>
            </c:numRef>
          </c:val>
          <c:smooth val="0"/>
        </c:ser>
        <c:dLbls>
          <c:showLegendKey val="0"/>
          <c:showVal val="1"/>
          <c:showCatName val="0"/>
          <c:showSerName val="0"/>
          <c:showPercent val="0"/>
          <c:showBubbleSize val="0"/>
        </c:dLbls>
        <c:marker val="1"/>
        <c:smooth val="0"/>
        <c:axId val="421491520"/>
        <c:axId val="421491128"/>
      </c:lineChart>
      <c:catAx>
        <c:axId val="421491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1491128"/>
        <c:crosses val="autoZero"/>
        <c:auto val="1"/>
        <c:lblAlgn val="ctr"/>
        <c:lblOffset val="100"/>
        <c:noMultiLvlLbl val="0"/>
      </c:catAx>
      <c:valAx>
        <c:axId val="421491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14915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78009259259258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9.5804292406033043E-3"/>
          <c:y val="0.17053587051618549"/>
          <c:w val="0.99041957075939657"/>
          <c:h val="0.65060148731408685"/>
        </c:manualLayout>
      </c:layout>
      <c:lineChart>
        <c:grouping val="standard"/>
        <c:varyColors val="0"/>
        <c:ser>
          <c:idx val="0"/>
          <c:order val="0"/>
          <c:tx>
            <c:strRef>
              <c:f>Lapas1!$B$1</c:f>
              <c:strCache>
                <c:ptCount val="1"/>
                <c:pt idx="0">
                  <c:v>Savivaldybės biudžeto lėšos, proc.</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Lapas1!$B$2:$B$5</c:f>
              <c:numCache>
                <c:formatCode>General</c:formatCode>
                <c:ptCount val="4"/>
                <c:pt idx="0">
                  <c:v>49.97</c:v>
                </c:pt>
                <c:pt idx="1">
                  <c:v>50.849999999999994</c:v>
                </c:pt>
                <c:pt idx="2">
                  <c:v>51.230000000000004</c:v>
                </c:pt>
              </c:numCache>
            </c:numRef>
          </c:val>
          <c:smooth val="0"/>
        </c:ser>
        <c:dLbls>
          <c:showLegendKey val="0"/>
          <c:showVal val="1"/>
          <c:showCatName val="0"/>
          <c:showSerName val="0"/>
          <c:showPercent val="0"/>
          <c:showBubbleSize val="0"/>
        </c:dLbls>
        <c:marker val="1"/>
        <c:smooth val="0"/>
        <c:axId val="421492696"/>
        <c:axId val="421495048"/>
      </c:lineChart>
      <c:catAx>
        <c:axId val="421492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1495048"/>
        <c:crosses val="autoZero"/>
        <c:auto val="1"/>
        <c:lblAlgn val="ctr"/>
        <c:lblOffset val="100"/>
        <c:noMultiLvlLbl val="0"/>
      </c:catAx>
      <c:valAx>
        <c:axId val="421495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14926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2015–2016 m. m.</c:v>
                </c:pt>
              </c:strCache>
            </c:strRef>
          </c:tx>
          <c:spPr>
            <a:solidFill>
              <a:srgbClr val="4472C4"/>
            </a:solidFill>
            <a:ln w="25432">
              <a:noFill/>
            </a:ln>
          </c:spPr>
          <c:invertIfNegative val="0"/>
          <c:dLbls>
            <c:spPr>
              <a:noFill/>
              <a:ln w="2543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Mokytojai</c:v>
                </c:pt>
                <c:pt idx="1">
                  <c:v>Vyr. mokytojai</c:v>
                </c:pt>
                <c:pt idx="2">
                  <c:v>Metodininkai</c:v>
                </c:pt>
                <c:pt idx="3">
                  <c:v>Ekspertai</c:v>
                </c:pt>
              </c:strCache>
            </c:strRef>
          </c:cat>
          <c:val>
            <c:numRef>
              <c:f>Lapas1!$B$2:$B$5</c:f>
              <c:numCache>
                <c:formatCode>General</c:formatCode>
                <c:ptCount val="4"/>
                <c:pt idx="0">
                  <c:v>86</c:v>
                </c:pt>
                <c:pt idx="1">
                  <c:v>283</c:v>
                </c:pt>
                <c:pt idx="2">
                  <c:v>147</c:v>
                </c:pt>
                <c:pt idx="3">
                  <c:v>11</c:v>
                </c:pt>
              </c:numCache>
            </c:numRef>
          </c:val>
        </c:ser>
        <c:ser>
          <c:idx val="1"/>
          <c:order val="1"/>
          <c:tx>
            <c:strRef>
              <c:f>Lapas1!$C$1</c:f>
              <c:strCache>
                <c:ptCount val="1"/>
                <c:pt idx="0">
                  <c:v>2016–2017 m. m.</c:v>
                </c:pt>
              </c:strCache>
            </c:strRef>
          </c:tx>
          <c:spPr>
            <a:solidFill>
              <a:srgbClr val="ED7D31"/>
            </a:solidFill>
            <a:ln w="25432">
              <a:noFill/>
            </a:ln>
          </c:spPr>
          <c:invertIfNegative val="0"/>
          <c:dLbls>
            <c:spPr>
              <a:noFill/>
              <a:ln w="2543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Mokytojai</c:v>
                </c:pt>
                <c:pt idx="1">
                  <c:v>Vyr. mokytojai</c:v>
                </c:pt>
                <c:pt idx="2">
                  <c:v>Metodininkai</c:v>
                </c:pt>
                <c:pt idx="3">
                  <c:v>Ekspertai</c:v>
                </c:pt>
              </c:strCache>
            </c:strRef>
          </c:cat>
          <c:val>
            <c:numRef>
              <c:f>Lapas1!$C$2:$C$5</c:f>
              <c:numCache>
                <c:formatCode>General</c:formatCode>
                <c:ptCount val="4"/>
                <c:pt idx="0">
                  <c:v>75</c:v>
                </c:pt>
                <c:pt idx="1">
                  <c:v>265</c:v>
                </c:pt>
                <c:pt idx="2">
                  <c:v>148</c:v>
                </c:pt>
                <c:pt idx="3">
                  <c:v>11</c:v>
                </c:pt>
              </c:numCache>
            </c:numRef>
          </c:val>
        </c:ser>
        <c:ser>
          <c:idx val="2"/>
          <c:order val="2"/>
          <c:tx>
            <c:strRef>
              <c:f>Lapas1!$D$1</c:f>
              <c:strCache>
                <c:ptCount val="1"/>
                <c:pt idx="0">
                  <c:v>2017–2018 m.m.</c:v>
                </c:pt>
              </c:strCache>
            </c:strRef>
          </c:tx>
          <c:spPr>
            <a:solidFill>
              <a:srgbClr val="A5A5A5"/>
            </a:solidFill>
            <a:ln w="25432">
              <a:noFill/>
            </a:ln>
          </c:spPr>
          <c:invertIfNegative val="0"/>
          <c:dLbls>
            <c:spPr>
              <a:noFill/>
              <a:ln w="2543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Mokytojai</c:v>
                </c:pt>
                <c:pt idx="1">
                  <c:v>Vyr. mokytojai</c:v>
                </c:pt>
                <c:pt idx="2">
                  <c:v>Metodininkai</c:v>
                </c:pt>
                <c:pt idx="3">
                  <c:v>Ekspertai</c:v>
                </c:pt>
              </c:strCache>
            </c:strRef>
          </c:cat>
          <c:val>
            <c:numRef>
              <c:f>Lapas1!$D$2:$D$5</c:f>
              <c:numCache>
                <c:formatCode>General</c:formatCode>
                <c:ptCount val="4"/>
                <c:pt idx="0">
                  <c:v>63</c:v>
                </c:pt>
                <c:pt idx="1">
                  <c:v>259</c:v>
                </c:pt>
                <c:pt idx="2">
                  <c:v>143</c:v>
                </c:pt>
                <c:pt idx="3">
                  <c:v>10</c:v>
                </c:pt>
              </c:numCache>
            </c:numRef>
          </c:val>
        </c:ser>
        <c:dLbls>
          <c:showLegendKey val="0"/>
          <c:showVal val="0"/>
          <c:showCatName val="0"/>
          <c:showSerName val="0"/>
          <c:showPercent val="0"/>
          <c:showBubbleSize val="0"/>
        </c:dLbls>
        <c:gapWidth val="219"/>
        <c:overlap val="-27"/>
        <c:axId val="421497400"/>
        <c:axId val="421498184"/>
      </c:barChart>
      <c:catAx>
        <c:axId val="421497400"/>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t-LT"/>
          </a:p>
        </c:txPr>
        <c:crossAx val="421498184"/>
        <c:crosses val="autoZero"/>
        <c:auto val="1"/>
        <c:lblAlgn val="ctr"/>
        <c:lblOffset val="100"/>
        <c:noMultiLvlLbl val="0"/>
      </c:catAx>
      <c:valAx>
        <c:axId val="421498184"/>
        <c:scaling>
          <c:orientation val="minMax"/>
        </c:scaling>
        <c:delete val="0"/>
        <c:axPos val="l"/>
        <c:majorGridlines>
          <c:spPr>
            <a:ln w="9537" cap="flat" cmpd="sng" algn="ctr">
              <a:solidFill>
                <a:schemeClr val="tx1">
                  <a:lumMod val="15000"/>
                  <a:lumOff val="85000"/>
                </a:schemeClr>
              </a:solidFill>
              <a:round/>
            </a:ln>
            <a:effectLst/>
          </c:spPr>
        </c:majorGridlines>
        <c:numFmt formatCode="General" sourceLinked="1"/>
        <c:majorTickMark val="none"/>
        <c:minorTickMark val="none"/>
        <c:tickLblPos val="nextTo"/>
        <c:spPr>
          <a:ln w="6357">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1497400"/>
        <c:crosses val="autoZero"/>
        <c:crossBetween val="between"/>
      </c:valAx>
      <c:spPr>
        <a:noFill/>
        <a:ln w="25430">
          <a:noFill/>
        </a:ln>
      </c:spPr>
    </c:plotArea>
    <c:legend>
      <c:legendPos val="b"/>
      <c:overlay val="0"/>
      <c:spPr>
        <a:noFill/>
        <a:ln w="25432">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3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3.9351851851851853E-2"/>
          <c:y val="0.17053587051618549"/>
          <c:w val="0.94907407407407451"/>
          <c:h val="0.65060148731408629"/>
        </c:manualLayout>
      </c:layout>
      <c:lineChart>
        <c:grouping val="standard"/>
        <c:varyColors val="0"/>
        <c:ser>
          <c:idx val="0"/>
          <c:order val="0"/>
          <c:tx>
            <c:strRef>
              <c:f>Lapas1!$B$1</c:f>
              <c:strCache>
                <c:ptCount val="1"/>
                <c:pt idx="0">
                  <c:v>Mokytojų skaičiaus kaita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Lapas1!$B$2:$B$5</c:f>
              <c:numCache>
                <c:formatCode>General</c:formatCode>
                <c:ptCount val="4"/>
                <c:pt idx="0">
                  <c:v>527</c:v>
                </c:pt>
                <c:pt idx="1">
                  <c:v>488</c:v>
                </c:pt>
                <c:pt idx="2">
                  <c:v>475</c:v>
                </c:pt>
              </c:numCache>
            </c:numRef>
          </c:val>
          <c:smooth val="0"/>
        </c:ser>
        <c:dLbls>
          <c:showLegendKey val="0"/>
          <c:showVal val="1"/>
          <c:showCatName val="0"/>
          <c:showSerName val="0"/>
          <c:showPercent val="0"/>
          <c:showBubbleSize val="0"/>
        </c:dLbls>
        <c:marker val="1"/>
        <c:smooth val="0"/>
        <c:axId val="413814864"/>
        <c:axId val="413825448"/>
      </c:lineChart>
      <c:catAx>
        <c:axId val="413814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3825448"/>
        <c:crosses val="autoZero"/>
        <c:auto val="1"/>
        <c:lblAlgn val="ctr"/>
        <c:lblOffset val="100"/>
        <c:noMultiLvlLbl val="0"/>
      </c:catAx>
      <c:valAx>
        <c:axId val="413825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38148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Išsilavinimą</a:t>
            </a:r>
            <a:r>
              <a:rPr lang="lt-LT" baseline="0"/>
              <a:t> įgijusių proc.</a:t>
            </a:r>
            <a:endParaRPr lang="lt-LT"/>
          </a:p>
        </c:rich>
      </c:tx>
      <c:overlay val="0"/>
      <c:spPr>
        <a:noFill/>
        <a:ln>
          <a:noFill/>
        </a:ln>
        <a:effectLst/>
      </c:spPr>
    </c:title>
    <c:autoTitleDeleted val="0"/>
    <c:plotArea>
      <c:layout>
        <c:manualLayout>
          <c:layoutTarget val="inner"/>
          <c:xMode val="edge"/>
          <c:yMode val="edge"/>
          <c:x val="0.12266057888597263"/>
          <c:y val="9.5595238095238164E-2"/>
          <c:w val="0.82446905074365706"/>
          <c:h val="0.66998656417947777"/>
        </c:manualLayout>
      </c:layout>
      <c:barChart>
        <c:barDir val="bar"/>
        <c:grouping val="stacked"/>
        <c:varyColors val="0"/>
        <c:ser>
          <c:idx val="0"/>
          <c:order val="0"/>
          <c:tx>
            <c:strRef>
              <c:f>Lapas1!$B$1</c:f>
              <c:strCache>
                <c:ptCount val="1"/>
                <c:pt idx="0">
                  <c:v>Pradinio ugdymo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 savivaldybės</c:v>
                </c:pt>
                <c:pt idx="1">
                  <c:v>2015 m. šalies</c:v>
                </c:pt>
                <c:pt idx="2">
                  <c:v>2016 m. savivaldybės</c:v>
                </c:pt>
                <c:pt idx="3">
                  <c:v>2016 m. šalies</c:v>
                </c:pt>
                <c:pt idx="4">
                  <c:v>2017 m. savivaldybės</c:v>
                </c:pt>
                <c:pt idx="5">
                  <c:v>2017 m. šalies </c:v>
                </c:pt>
              </c:strCache>
            </c:strRef>
          </c:cat>
          <c:val>
            <c:numRef>
              <c:f>Lapas1!$B$2:$B$7</c:f>
              <c:numCache>
                <c:formatCode>General</c:formatCode>
                <c:ptCount val="6"/>
                <c:pt idx="0">
                  <c:v>96.3</c:v>
                </c:pt>
                <c:pt idx="1">
                  <c:v>97.2</c:v>
                </c:pt>
                <c:pt idx="2">
                  <c:v>95.1</c:v>
                </c:pt>
                <c:pt idx="3">
                  <c:v>97.2</c:v>
                </c:pt>
                <c:pt idx="4">
                  <c:v>99.6</c:v>
                </c:pt>
                <c:pt idx="5">
                  <c:v>96.9</c:v>
                </c:pt>
              </c:numCache>
            </c:numRef>
          </c:val>
        </c:ser>
        <c:ser>
          <c:idx val="1"/>
          <c:order val="1"/>
          <c:tx>
            <c:strRef>
              <c:f>Lapas1!$C$1</c:f>
              <c:strCache>
                <c:ptCount val="1"/>
                <c:pt idx="0">
                  <c:v>Pagrindinio ugdymo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 savivaldybės</c:v>
                </c:pt>
                <c:pt idx="1">
                  <c:v>2015 m. šalies</c:v>
                </c:pt>
                <c:pt idx="2">
                  <c:v>2016 m. savivaldybės</c:v>
                </c:pt>
                <c:pt idx="3">
                  <c:v>2016 m. šalies</c:v>
                </c:pt>
                <c:pt idx="4">
                  <c:v>2017 m. savivaldybės</c:v>
                </c:pt>
                <c:pt idx="5">
                  <c:v>2017 m. šalies </c:v>
                </c:pt>
              </c:strCache>
            </c:strRef>
          </c:cat>
          <c:val>
            <c:numRef>
              <c:f>Lapas1!$C$2:$C$7</c:f>
              <c:numCache>
                <c:formatCode>General</c:formatCode>
                <c:ptCount val="6"/>
                <c:pt idx="0">
                  <c:v>85.7</c:v>
                </c:pt>
                <c:pt idx="1">
                  <c:v>94.9</c:v>
                </c:pt>
                <c:pt idx="2">
                  <c:v>89.6</c:v>
                </c:pt>
                <c:pt idx="3">
                  <c:v>95.1</c:v>
                </c:pt>
                <c:pt idx="4">
                  <c:v>89.4</c:v>
                </c:pt>
                <c:pt idx="5">
                  <c:v>95.2</c:v>
                </c:pt>
              </c:numCache>
            </c:numRef>
          </c:val>
        </c:ser>
        <c:ser>
          <c:idx val="2"/>
          <c:order val="2"/>
          <c:tx>
            <c:strRef>
              <c:f>Lapas1!$D$1</c:f>
              <c:strCache>
                <c:ptCount val="1"/>
                <c:pt idx="0">
                  <c:v>Vidurinio ugdymo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 savivaldybės</c:v>
                </c:pt>
                <c:pt idx="1">
                  <c:v>2015 m. šalies</c:v>
                </c:pt>
                <c:pt idx="2">
                  <c:v>2016 m. savivaldybės</c:v>
                </c:pt>
                <c:pt idx="3">
                  <c:v>2016 m. šalies</c:v>
                </c:pt>
                <c:pt idx="4">
                  <c:v>2017 m. savivaldybės</c:v>
                </c:pt>
                <c:pt idx="5">
                  <c:v>2017 m. šalies </c:v>
                </c:pt>
              </c:strCache>
            </c:strRef>
          </c:cat>
          <c:val>
            <c:numRef>
              <c:f>Lapas1!$D$2:$D$7</c:f>
              <c:numCache>
                <c:formatCode>General</c:formatCode>
                <c:ptCount val="6"/>
                <c:pt idx="0">
                  <c:v>87.8</c:v>
                </c:pt>
                <c:pt idx="1">
                  <c:v>96.240000000000023</c:v>
                </c:pt>
                <c:pt idx="2">
                  <c:v>81.2</c:v>
                </c:pt>
                <c:pt idx="3">
                  <c:v>95.7</c:v>
                </c:pt>
                <c:pt idx="4">
                  <c:v>79.8</c:v>
                </c:pt>
                <c:pt idx="5">
                  <c:v>96.4</c:v>
                </c:pt>
              </c:numCache>
            </c:numRef>
          </c:val>
        </c:ser>
        <c:dLbls>
          <c:showLegendKey val="0"/>
          <c:showVal val="0"/>
          <c:showCatName val="0"/>
          <c:showSerName val="0"/>
          <c:showPercent val="0"/>
          <c:showBubbleSize val="0"/>
        </c:dLbls>
        <c:gapWidth val="150"/>
        <c:overlap val="100"/>
        <c:axId val="413813688"/>
        <c:axId val="413818000"/>
      </c:barChart>
      <c:catAx>
        <c:axId val="413813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818000"/>
        <c:crosses val="autoZero"/>
        <c:auto val="1"/>
        <c:lblAlgn val="ctr"/>
        <c:lblOffset val="100"/>
        <c:noMultiLvlLbl val="0"/>
      </c:catAx>
      <c:valAx>
        <c:axId val="413818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81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Rezultatų</a:t>
            </a:r>
            <a:r>
              <a:rPr lang="lt-LT" baseline="0"/>
              <a:t> palyginimas</a:t>
            </a:r>
            <a:endParaRPr lang="lt-LT"/>
          </a:p>
        </c:rich>
      </c:tx>
      <c:overlay val="0"/>
      <c:spPr>
        <a:noFill/>
        <a:ln>
          <a:noFill/>
        </a:ln>
        <a:effectLst/>
      </c:spPr>
    </c:title>
    <c:autoTitleDeleted val="0"/>
    <c:plotArea>
      <c:layout>
        <c:manualLayout>
          <c:layoutTarget val="inner"/>
          <c:xMode val="edge"/>
          <c:yMode val="edge"/>
          <c:x val="4.3910032079323424E-2"/>
          <c:y val="0.13130952380952382"/>
          <c:w val="0.91905293088363949"/>
          <c:h val="0.66998656417947777"/>
        </c:manualLayout>
      </c:layout>
      <c:lineChart>
        <c:grouping val="standard"/>
        <c:varyColors val="0"/>
        <c:ser>
          <c:idx val="0"/>
          <c:order val="0"/>
          <c:tx>
            <c:strRef>
              <c:f>Lapas1!$B$1</c:f>
              <c:strCache>
                <c:ptCount val="1"/>
                <c:pt idx="0">
                  <c:v>2015 m.</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matematika</c:v>
                </c:pt>
                <c:pt idx="1">
                  <c:v>skaitymas</c:v>
                </c:pt>
                <c:pt idx="2">
                  <c:v>rašymas</c:v>
                </c:pt>
              </c:strCache>
            </c:strRef>
          </c:cat>
          <c:val>
            <c:numRef>
              <c:f>Lapas1!$B$2:$B$5</c:f>
              <c:numCache>
                <c:formatCode>General</c:formatCode>
                <c:ptCount val="4"/>
                <c:pt idx="0">
                  <c:v>61.7</c:v>
                </c:pt>
                <c:pt idx="1">
                  <c:v>60.5</c:v>
                </c:pt>
                <c:pt idx="2">
                  <c:v>61.1</c:v>
                </c:pt>
              </c:numCache>
            </c:numRef>
          </c:val>
          <c:smooth val="0"/>
        </c:ser>
        <c:ser>
          <c:idx val="1"/>
          <c:order val="1"/>
          <c:tx>
            <c:strRef>
              <c:f>Lapas1!$C$1</c:f>
              <c:strCache>
                <c:ptCount val="1"/>
                <c:pt idx="0">
                  <c:v>2017 m.</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matematika</c:v>
                </c:pt>
                <c:pt idx="1">
                  <c:v>skaitymas</c:v>
                </c:pt>
                <c:pt idx="2">
                  <c:v>rašymas</c:v>
                </c:pt>
              </c:strCache>
            </c:strRef>
          </c:cat>
          <c:val>
            <c:numRef>
              <c:f>Lapas1!$C$2:$C$5</c:f>
              <c:numCache>
                <c:formatCode>General</c:formatCode>
                <c:ptCount val="4"/>
                <c:pt idx="0">
                  <c:v>50.8</c:v>
                </c:pt>
                <c:pt idx="1">
                  <c:v>48.7</c:v>
                </c:pt>
                <c:pt idx="2">
                  <c:v>53.9</c:v>
                </c:pt>
              </c:numCache>
            </c:numRef>
          </c:val>
          <c:smooth val="0"/>
        </c:ser>
        <c:dLbls>
          <c:showLegendKey val="0"/>
          <c:showVal val="1"/>
          <c:showCatName val="0"/>
          <c:showSerName val="0"/>
          <c:showPercent val="0"/>
          <c:showBubbleSize val="0"/>
        </c:dLbls>
        <c:marker val="1"/>
        <c:smooth val="0"/>
        <c:axId val="413820352"/>
        <c:axId val="413818392"/>
      </c:lineChart>
      <c:catAx>
        <c:axId val="413820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3818392"/>
        <c:crosses val="autoZero"/>
        <c:auto val="1"/>
        <c:lblAlgn val="ctr"/>
        <c:lblOffset val="100"/>
        <c:noMultiLvlLbl val="0"/>
      </c:catAx>
      <c:valAx>
        <c:axId val="413818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38203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lt-LT" sz="1400"/>
              <a:t>PUPP Lietuvių k. (gimtoji) rezultatai</a:t>
            </a:r>
          </a:p>
        </c:rich>
      </c:tx>
      <c:overlay val="0"/>
      <c:spPr>
        <a:noFill/>
        <a:ln w="25432">
          <a:noFill/>
        </a:ln>
      </c:spPr>
    </c:title>
    <c:autoTitleDeleted val="0"/>
    <c:plotArea>
      <c:layout>
        <c:manualLayout>
          <c:layoutTarget val="inner"/>
          <c:xMode val="edge"/>
          <c:yMode val="edge"/>
          <c:x val="0.24474492198244349"/>
          <c:y val="0.16214207650273224"/>
          <c:w val="0.71007137429313438"/>
          <c:h val="0.63656021685813946"/>
        </c:manualLayout>
      </c:layout>
      <c:barChart>
        <c:barDir val="bar"/>
        <c:grouping val="percentStacked"/>
        <c:varyColors val="0"/>
        <c:ser>
          <c:idx val="0"/>
          <c:order val="0"/>
          <c:tx>
            <c:strRef>
              <c:f>Lapas1!$B$1</c:f>
              <c:strCache>
                <c:ptCount val="1"/>
                <c:pt idx="0">
                  <c:v>Įvertinta 4-10</c:v>
                </c:pt>
              </c:strCache>
            </c:strRef>
          </c:tx>
          <c:spPr>
            <a:solidFill>
              <a:srgbClr val="4472C4"/>
            </a:solidFill>
            <a:ln w="25389">
              <a:noFill/>
            </a:ln>
          </c:spPr>
          <c:invertIfNegative val="0"/>
          <c:dLbls>
            <c:spPr>
              <a:noFill/>
              <a:ln w="2543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Lapas1!$A$2:$A$9</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Lapas1!$B$2:$B$9</c:f>
              <c:numCache>
                <c:formatCode>General</c:formatCode>
                <c:ptCount val="8"/>
                <c:pt idx="0">
                  <c:v>96.6</c:v>
                </c:pt>
                <c:pt idx="1">
                  <c:v>95.2</c:v>
                </c:pt>
                <c:pt idx="2">
                  <c:v>96.1</c:v>
                </c:pt>
                <c:pt idx="3">
                  <c:v>90.13</c:v>
                </c:pt>
                <c:pt idx="4">
                  <c:v>95.4</c:v>
                </c:pt>
                <c:pt idx="5">
                  <c:v>93.1</c:v>
                </c:pt>
              </c:numCache>
            </c:numRef>
          </c:val>
        </c:ser>
        <c:ser>
          <c:idx val="1"/>
          <c:order val="1"/>
          <c:tx>
            <c:strRef>
              <c:f>Lapas1!$C$1</c:f>
              <c:strCache>
                <c:ptCount val="1"/>
                <c:pt idx="0">
                  <c:v>Įvertinta 1-3</c:v>
                </c:pt>
              </c:strCache>
            </c:strRef>
          </c:tx>
          <c:spPr>
            <a:solidFill>
              <a:srgbClr val="ED7D31"/>
            </a:solidFill>
            <a:ln w="25389">
              <a:noFill/>
            </a:ln>
          </c:spPr>
          <c:invertIfNegative val="0"/>
          <c:dLbls>
            <c:spPr>
              <a:noFill/>
              <a:ln w="2543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Lapas1!$A$2:$A$9</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Lapas1!$C$2:$C$9</c:f>
              <c:numCache>
                <c:formatCode>General</c:formatCode>
                <c:ptCount val="8"/>
                <c:pt idx="0">
                  <c:v>3.4</c:v>
                </c:pt>
                <c:pt idx="1">
                  <c:v>4.8</c:v>
                </c:pt>
                <c:pt idx="2">
                  <c:v>3.9</c:v>
                </c:pt>
                <c:pt idx="3">
                  <c:v>9.8700000000000028</c:v>
                </c:pt>
                <c:pt idx="4">
                  <c:v>4.5999999999999996</c:v>
                </c:pt>
                <c:pt idx="5">
                  <c:v>6.9</c:v>
                </c:pt>
              </c:numCache>
            </c:numRef>
          </c:val>
        </c:ser>
        <c:ser>
          <c:idx val="2"/>
          <c:order val="2"/>
          <c:tx>
            <c:strRef>
              <c:f>Lapas1!$D$1</c:f>
              <c:strCache>
                <c:ptCount val="1"/>
                <c:pt idx="0">
                  <c:v>Stulpelis1</c:v>
                </c:pt>
              </c:strCache>
            </c:strRef>
          </c:tx>
          <c:spPr>
            <a:solidFill>
              <a:srgbClr val="A5A5A5"/>
            </a:solidFill>
            <a:ln w="25389">
              <a:noFill/>
            </a:ln>
          </c:spPr>
          <c:invertIfNegative val="0"/>
          <c:dLbls>
            <c:spPr>
              <a:noFill/>
              <a:ln w="25432">
                <a:noFill/>
              </a:ln>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Lapas1!$A$2:$A$9</c:f>
              <c:strCache>
                <c:ptCount val="6"/>
                <c:pt idx="0">
                  <c:v>Lietuvoje 2017 m.</c:v>
                </c:pt>
                <c:pt idx="1">
                  <c:v>Savivaldybėje 2017 m.</c:v>
                </c:pt>
                <c:pt idx="2">
                  <c:v>Lietuvoje 2016 m.</c:v>
                </c:pt>
                <c:pt idx="3">
                  <c:v>Savivaldybėje 2016 m.</c:v>
                </c:pt>
                <c:pt idx="4">
                  <c:v>Lietuvoje 2015 m.</c:v>
                </c:pt>
                <c:pt idx="5">
                  <c:v>Savivaldybėje 2015 m.</c:v>
                </c:pt>
              </c:strCache>
            </c:strRef>
          </c:cat>
          <c:val>
            <c:numRef>
              <c:f>Lapas1!$D$2:$D$9</c:f>
              <c:numCache>
                <c:formatCode>General</c:formatCode>
                <c:ptCount val="8"/>
              </c:numCache>
            </c:numRef>
          </c:val>
        </c:ser>
        <c:dLbls>
          <c:showLegendKey val="0"/>
          <c:showVal val="0"/>
          <c:showCatName val="0"/>
          <c:showSerName val="0"/>
          <c:showPercent val="0"/>
          <c:showBubbleSize val="0"/>
        </c:dLbls>
        <c:gapWidth val="219"/>
        <c:overlap val="100"/>
        <c:axId val="375419960"/>
        <c:axId val="375419176"/>
      </c:barChart>
      <c:catAx>
        <c:axId val="375419960"/>
        <c:scaling>
          <c:orientation val="minMax"/>
        </c:scaling>
        <c:delete val="0"/>
        <c:axPos val="l"/>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vert="horz"/>
          <a:lstStyle/>
          <a:p>
            <a:pPr>
              <a:defRPr/>
            </a:pPr>
            <a:endParaRPr lang="lt-LT"/>
          </a:p>
        </c:txPr>
        <c:crossAx val="375419176"/>
        <c:crosses val="autoZero"/>
        <c:auto val="1"/>
        <c:lblAlgn val="ctr"/>
        <c:lblOffset val="100"/>
        <c:noMultiLvlLbl val="0"/>
      </c:catAx>
      <c:valAx>
        <c:axId val="375419176"/>
        <c:scaling>
          <c:orientation val="minMax"/>
        </c:scaling>
        <c:delete val="0"/>
        <c:axPos val="b"/>
        <c:majorGridlines>
          <c:spPr>
            <a:ln w="9521" cap="flat" cmpd="sng" algn="ctr">
              <a:solidFill>
                <a:schemeClr val="tx1">
                  <a:lumMod val="15000"/>
                  <a:lumOff val="85000"/>
                </a:schemeClr>
              </a:solidFill>
              <a:round/>
            </a:ln>
            <a:effectLst/>
          </c:spPr>
        </c:majorGridlines>
        <c:numFmt formatCode="0%" sourceLinked="1"/>
        <c:majorTickMark val="none"/>
        <c:minorTickMark val="none"/>
        <c:tickLblPos val="nextTo"/>
        <c:spPr>
          <a:ln w="6347">
            <a:noFill/>
          </a:ln>
        </c:spPr>
        <c:txPr>
          <a:bodyPr rot="-60000000" vert="horz"/>
          <a:lstStyle/>
          <a:p>
            <a:pPr>
              <a:defRPr/>
            </a:pPr>
            <a:endParaRPr lang="lt-LT"/>
          </a:p>
        </c:txPr>
        <c:crossAx val="375419960"/>
        <c:crosses val="autoZero"/>
        <c:crossBetween val="between"/>
      </c:valAx>
      <c:spPr>
        <a:noFill/>
        <a:ln w="25432">
          <a:noFill/>
        </a:ln>
      </c:spPr>
    </c:plotArea>
    <c:legend>
      <c:legendPos val="b"/>
      <c:legendEntry>
        <c:idx val="2"/>
        <c:delete val="1"/>
      </c:legendEntry>
      <c:overlay val="0"/>
      <c:spPr>
        <a:noFill/>
        <a:ln w="25389">
          <a:noFill/>
        </a:ln>
      </c:spPr>
      <c:txPr>
        <a:bodyPr rot="0" vert="horz"/>
        <a:lstStyle/>
        <a:p>
          <a:pPr>
            <a:defRPr/>
          </a:pPr>
          <a:endParaRPr lang="lt-LT"/>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8056</Words>
  <Characters>4592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Navickienė</dc:creator>
  <cp:keywords/>
  <dc:description/>
  <cp:lastModifiedBy>Asta Morkūnienė</cp:lastModifiedBy>
  <cp:revision>3</cp:revision>
  <dcterms:created xsi:type="dcterms:W3CDTF">2018-02-27T09:21:00Z</dcterms:created>
  <dcterms:modified xsi:type="dcterms:W3CDTF">2018-02-27T09:21:00Z</dcterms:modified>
</cp:coreProperties>
</file>